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5"/>
        <w:gridCol w:w="990"/>
        <w:gridCol w:w="9085"/>
        <w:tblGridChange w:id="0">
          <w:tblGrid>
            <w:gridCol w:w="715"/>
            <w:gridCol w:w="990"/>
            <w:gridCol w:w="9085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2023-24 LOCAL CONTROL AND ACCOUNTABILITY PLAN ACTION TABLE REVIEW CRITERIA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spacing w:after="120" w:before="12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Instructions to reviewer: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 Mark the Yes box next to each criterion to indicate whether the criteria are met based on the review of the 2023-24 LCAP Action Tables.  If criteria are not met and follow-up is required, use the space provided after each section.  The Page Reference box may be used to help track where the criteria is met (or not met) in the document.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(1) Use of Template and Required Tables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Action tables submitted with LCAP adhere to the template adopted by SBE.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LEA provides the following tables, at a minimum: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(b.1) 2023-24 Total Planned Expenditures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(b.2) 2023-24 Contributing Actions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(b.3) 2022-23 Annual Update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(b.4) 2022-23 Contributing Actions Annual Update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(b.5) 2022-23 LCFF Carryover Table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2A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(2) 2023-24 Total Planned Expenditures Table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D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(2023-24)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(b.1) Total for LCFF Funds does not exceed total LCFF Sources on SACS Form 01, Column F, Row A.1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(b.2) Total for All Other State funds does not exceed total Other State Revenue on SACS Form 01, Column F, Row A.3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(b.3) Total for Local Funds does not exceed total Other Local Revenue on SACS Form 01, Column F, Row A.4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(b.4) Total for Federal Funds does not exceed total Federal Revenue on SACS Form 01, Column F, Row A.2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(b.5) Total Personnel does not exceed total of Certificated Salaries plus Classified Salaries plus Employee Benefits on SACS Form 01, Column F, Rows B.1, B.2, and B.3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(b.6) Total Non-Personnel does not exceed Total Expenditures on SACS Form 01, Column F, Row B.9 minus Total Personnel (the total of Rows B.1, B.2, and B.3 calculated above)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Goal # and Action # are included for each item in the table and are aligned to the Goals and Actions section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Action Title has been provided for each item in the table and is aligned to the Goals and Actions section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Student Group(s) has been provided for each item, either listed “All” or one or more specific student groups and is in alignment with the Goals and Actions section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Funding source(s) is(are) provided.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5B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(3) 2023-24 Contributing Actions Table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F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0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(2023-24) is provided.</w:t>
            </w:r>
          </w:p>
        </w:tc>
      </w:tr>
      <w:tr>
        <w:trPr>
          <w:cantSplit w:val="0"/>
          <w:trHeight w:val="455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(b.1) Projected LCFF Base Grant matches the LEAs LCFF Calculator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(b.2) Projected Supplemental and/or Concentration Grants matches the LEAs LCFF Calculator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(b.3) Projected Percentage to Increase or Improve Services for the Coming School Year matches the LEA’s LCFF Calculator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(b.4) LCFF Carryover – Percentage (Percentage from the Prior Year) matches the LCFF Carryover – Percentage calculated on the 2022-23 LCFF Carryover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Contributing to Increased or Improved Services: All actions in the table are marked “Yes.”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Scope: LEA provides a scope for each action which is LEA-wide (i.e., Districtwide or Charter-wide), Schoolwide, or Limited.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Unduplicated Student Group(s): LEA identifies one or more unduplicated student groups to be served by each action in the table.  “All” in this field indicates that Foster Youth, English Learner, and Low-Income students are being served by the action.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Location: LEA identifies the location for each action, which may include All Schools, Specific Schools, or Specific Grade Spans.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(f.1) If specific schools or grade spans are listed, LEA provides the individual schools, grade spans, or school types.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(g) LEA has provided one of the following for each action in table: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(g.1) Planned Expenditures for Contributing Actions (LCFF Funds): LEA specifies the amount of LCFF funds for each action.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(g.2) Planned Percentage of Improved Services (%): LEA specifies the percentage of planned quality improvement anticipated for each action where no LCFF funds are specified.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43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(g.2.1) Actions which include a Planned Percentage of Improved Services have a scope of “Limited” (Required).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LCFF Carryover — Percentage: LEA provides the LCFF Carryover — Percentage identified in the 2022-23 LCFF Carryover Table.  If a carryover percentage is not identified in the LCFF Carryover Table, the percentage specified should be zero (0.00%).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98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(4) 2022-23 Annual Update Table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B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C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D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(2022-23)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The following columns are populated, and match information provided in the 2022-23 LCAP (note that actions that were not in the original LCAP and that have been added are allowed):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(c.1) Goal # and Action #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(c.2) Prior Action/Service Title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(c.3) Contributing to Increased or Improved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(c.4) Last Year’s Planned Expenditures (Total Funds)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Estimated Actual Expenditures (Input Total Funds): LEA must provide estimated actual amounts for each item.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BD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(5) 2022-23 Contributing Actions Annual Update Table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1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2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(2022-23)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Estimated Actual LCFF Supplemental and/or Concentration Grants: LEA provides the total amount of LCFF supplemental and concentration grants it estimates it will actually receive in the current school year.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(c.1) Amount agrees with FCMAT LCFF Calculator.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Contributed to Increased or Improved Services: All actions in the table are marked “Yes.”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Estimated Actual Expenditures for Contributing Actions (Input LCFF Funds): LEA provides amounts for each action item in table, if applicable.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Estimated Actual Percentage of Improved Services (Input Percentage): LEA provides percentages for any action identified as contributing, being provided on a Limited basis to unduplicated students, and which does not have funding associated with the action.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DF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(6) 2022-23 LCFF Carryover Table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E2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4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(2022-23)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Table fields are populated.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Estimated Actual LCFF Base Grant: LEA provides the total amount of LCFF funding it estimates it will receive for the current school year, excluding the supplemental and concentration grants and add-ons for Targeted Instructional Improvement Grant and Home to School Transportation Programs.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(c.1) Amount agrees with the FCMAT LCFF calculator.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Estimated Actual LCFF Supplemental and/or Concentration Grants: LEA provides the amount of LCFF Supplemental and Concentration grant funding it estimates it will receive for the current school year.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(d.1) Amount agrees with the FCMAT LCFF calculator.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LCFF Carryover — Percentage (Percentage from the Prior Year): LEA provides the LCFF Carryover — Percentage identified in the LCFF Carryover Table from the prior year’s LCAP. 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720" w:top="720" w:left="720" w:right="720" w:header="288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firstLine="4320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Page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sz w:val="20"/>
        <w:szCs w:val="20"/>
        <w:rtl w:val="0"/>
      </w:rPr>
      <w:t xml:space="preserve"> of 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10790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158"/>
      <w:gridCol w:w="3512"/>
      <w:gridCol w:w="270"/>
      <w:gridCol w:w="1710"/>
      <w:gridCol w:w="3140"/>
      <w:tblGridChange w:id="0">
        <w:tblGrid>
          <w:gridCol w:w="2158"/>
          <w:gridCol w:w="3512"/>
          <w:gridCol w:w="270"/>
          <w:gridCol w:w="1710"/>
          <w:gridCol w:w="3140"/>
        </w:tblGrid>
      </w:tblGridChange>
    </w:tblGrid>
    <w:tr>
      <w:trPr>
        <w:cantSplit w:val="0"/>
        <w:trHeight w:val="547" w:hRule="atLeast"/>
        <w:tblHeader w:val="0"/>
      </w:trPr>
      <w:tc>
        <w:tcPr>
          <w:gridSpan w:val="5"/>
          <w:tcBorders>
            <w:top w:color="000000" w:space="0" w:sz="4" w:val="single"/>
            <w:left w:color="000000" w:space="0" w:sz="4" w:val="single"/>
            <w:right w:color="000000" w:space="0" w:sz="4" w:val="single"/>
          </w:tcBorders>
          <w:shd w:fill="dbdbdb" w:val="clear"/>
          <w:vAlign w:val="center"/>
        </w:tcPr>
        <w:p w:rsidR="00000000" w:rsidDel="00000000" w:rsidP="00000000" w:rsidRDefault="00000000" w:rsidRPr="00000000" w14:paraId="0000010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Local Control and Accountability Plan (LCAP) Compliance Review Template</w:t>
          </w:r>
        </w:p>
      </w:tc>
    </w:tr>
    <w:tr>
      <w:trPr>
        <w:cantSplit w:val="0"/>
        <w:tblHeader w:val="0"/>
      </w:trPr>
      <w:tc>
        <w:tcPr>
          <w:gridSpan w:val="5"/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0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LEA Name: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0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0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Hearing Date: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Submission Date: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1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1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Adoption Date: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1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LCAP Version: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1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1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i w:val="1"/>
              <w:color w:val="000000"/>
            </w:rPr>
          </w:pPr>
          <w:r w:rsidDel="00000000" w:rsidR="00000000" w:rsidRPr="00000000">
            <w:rPr>
              <w:i w:val="1"/>
              <w:color w:val="000000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Reviewer(s):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1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1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1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i w:val="1"/>
              <w:color w:val="000000"/>
            </w:rPr>
          </w:pPr>
          <w:r w:rsidDel="00000000" w:rsidR="00000000" w:rsidRPr="00000000">
            <w:rPr>
              <w:i w:val="1"/>
              <w:color w:val="000000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2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2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color w:val="000000"/>
              <w:rtl w:val="0"/>
            </w:rPr>
            <w:t xml:space="preserve">Review Date(s):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2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i w:val="1"/>
              <w:color w:val="000000"/>
            </w:rPr>
          </w:pPr>
          <w:r w:rsidDel="00000000" w:rsidR="00000000" w:rsidRPr="00000000">
            <w:rPr>
              <w:i w:val="1"/>
              <w:color w:val="000000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2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8A2A7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C0501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05013"/>
  </w:style>
  <w:style w:type="paragraph" w:styleId="Footer">
    <w:name w:val="footer"/>
    <w:basedOn w:val="Normal"/>
    <w:link w:val="FooterChar"/>
    <w:uiPriority w:val="99"/>
    <w:unhideWhenUsed w:val="1"/>
    <w:rsid w:val="00C0501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05013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90AE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90AE3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5F6C57"/>
    <w:pPr>
      <w:ind w:left="720"/>
      <w:contextualSpacing w:val="1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rLpW4KFRdBaIt71g2nrWmg3SDA==">AMUW2mUQjvH5nogBRPo+S9Pm3Q+dT9BxFrz6QTXhHMuQHnCFoyNgf48G4OPYIy/wnO6Ame/rprDSIUgTaTNJ13DiPmWtLtifcKV+5hT+cJDCXLcAlGwZQFTsFuvw05pYT+2uBzJKJj8O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20D4CDE0E3CF4CAC53E9BAA4534025" ma:contentTypeVersion="15" ma:contentTypeDescription="Create a new document." ma:contentTypeScope="" ma:versionID="f247523d80eb6126f37d4a532e94ebed">
  <xsd:schema xmlns:xsd="http://www.w3.org/2001/XMLSchema" xmlns:xs="http://www.w3.org/2001/XMLSchema" xmlns:p="http://schemas.microsoft.com/office/2006/metadata/properties" xmlns:ns2="a5ccdd2c-0fa4-45e2-a986-571ffa658233" xmlns:ns3="f30d6940-85d6-4319-8658-7b5d199f76fb" targetNamespace="http://schemas.microsoft.com/office/2006/metadata/properties" ma:root="true" ma:fieldsID="c05e135af870557584cd6c778da906a1" ns2:_="" ns3:_="">
    <xsd:import namespace="a5ccdd2c-0fa4-45e2-a986-571ffa658233"/>
    <xsd:import namespace="f30d6940-85d6-4319-8658-7b5d199f76f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cdd2c-0fa4-45e2-a986-571ffa6582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f1ad0e5-a962-4470-a93c-caa4ccca962e}" ma:internalName="TaxCatchAll" ma:showField="CatchAllData" ma:web="a5ccdd2c-0fa4-45e2-a986-571ffa6582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d6940-85d6-4319-8658-7b5d199f7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145642-1981-42de-a165-a0d01a6670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F3165D2-8069-45EF-9B8A-A154260AD25B}"/>
</file>

<file path=customXML/itemProps3.xml><?xml version="1.0" encoding="utf-8"?>
<ds:datastoreItem xmlns:ds="http://schemas.openxmlformats.org/officeDocument/2006/customXml" ds:itemID="{A5C47179-5DF7-4A8B-84C8-7F5E804F6664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2022-12-24T00:36:00Z</dcterms:created>
  <dc:creator>Gary Stine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0x010100D320D4CDE0E3CF4CAC53E9BAA4534025</vt:lpwstr>
  </property>
</Properties>
</file>