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CC49" w14:textId="5ABD1854" w:rsidR="006E06C6" w:rsidRPr="00940517" w:rsidRDefault="4C163580" w:rsidP="00B723BE">
      <w:pPr>
        <w:rPr>
          <w:rFonts w:cs="Arial"/>
        </w:rPr>
      </w:pPr>
      <w:r w:rsidRPr="00940517">
        <w:rPr>
          <w:noProof/>
        </w:rPr>
        <w:drawing>
          <wp:inline distT="0" distB="0" distL="0" distR="0" wp14:anchorId="118E2F56" wp14:editId="015319FB">
            <wp:extent cx="941731" cy="942975"/>
            <wp:effectExtent l="0" t="0" r="0" b="0"/>
            <wp:docPr id="129963237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731" cy="942975"/>
                    </a:xfrm>
                    <a:prstGeom prst="rect">
                      <a:avLst/>
                    </a:prstGeom>
                  </pic:spPr>
                </pic:pic>
              </a:graphicData>
            </a:graphic>
          </wp:inline>
        </w:drawing>
      </w:r>
    </w:p>
    <w:p w14:paraId="7AA9D6FF" w14:textId="77777777" w:rsidR="00B723BE" w:rsidRPr="00940517" w:rsidRDefault="00FC1FCE" w:rsidP="00B723BE">
      <w:pPr>
        <w:jc w:val="right"/>
        <w:rPr>
          <w:rFonts w:cs="Arial"/>
        </w:rPr>
      </w:pPr>
      <w:r w:rsidRPr="00940517">
        <w:rPr>
          <w:rFonts w:cs="Arial"/>
        </w:rPr>
        <w:t>California Department of Education</w:t>
      </w:r>
    </w:p>
    <w:p w14:paraId="60A9E39B" w14:textId="77777777" w:rsidR="00B723BE" w:rsidRPr="00940517" w:rsidRDefault="00FC1FCE" w:rsidP="00B723BE">
      <w:pPr>
        <w:jc w:val="right"/>
        <w:rPr>
          <w:rFonts w:cs="Arial"/>
        </w:rPr>
      </w:pPr>
      <w:r w:rsidRPr="00940517">
        <w:rPr>
          <w:rFonts w:cs="Arial"/>
        </w:rPr>
        <w:t>Executive Office</w:t>
      </w:r>
    </w:p>
    <w:p w14:paraId="708D8B98" w14:textId="77777777" w:rsidR="002B4B14" w:rsidRPr="00940517" w:rsidRDefault="00692300" w:rsidP="00B723BE">
      <w:pPr>
        <w:jc w:val="right"/>
        <w:rPr>
          <w:rFonts w:cs="Arial"/>
        </w:rPr>
      </w:pPr>
      <w:r w:rsidRPr="00940517">
        <w:rPr>
          <w:rFonts w:cs="Arial"/>
        </w:rPr>
        <w:t>SBE-00</w:t>
      </w:r>
      <w:r w:rsidR="000324AD" w:rsidRPr="00940517">
        <w:rPr>
          <w:rFonts w:cs="Arial"/>
        </w:rPr>
        <w:t>3</w:t>
      </w:r>
      <w:r w:rsidRPr="00940517">
        <w:rPr>
          <w:rFonts w:cs="Arial"/>
        </w:rPr>
        <w:t xml:space="preserve"> (REV. 1</w:t>
      </w:r>
      <w:r w:rsidR="00C27D57" w:rsidRPr="00940517">
        <w:rPr>
          <w:rFonts w:cs="Arial"/>
        </w:rPr>
        <w:t>1</w:t>
      </w:r>
      <w:r w:rsidRPr="00940517">
        <w:rPr>
          <w:rFonts w:cs="Arial"/>
        </w:rPr>
        <w:t>/2017</w:t>
      </w:r>
      <w:r w:rsidR="00FC1FCE" w:rsidRPr="00940517">
        <w:rPr>
          <w:rFonts w:cs="Arial"/>
        </w:rPr>
        <w:t>)</w:t>
      </w:r>
    </w:p>
    <w:p w14:paraId="013141B4" w14:textId="322E635B" w:rsidR="00B723BE" w:rsidRPr="00940517" w:rsidRDefault="00194663" w:rsidP="00B723BE">
      <w:pPr>
        <w:jc w:val="right"/>
        <w:rPr>
          <w:rFonts w:cs="Arial"/>
        </w:rPr>
      </w:pPr>
      <w:r w:rsidRPr="00940517">
        <w:rPr>
          <w:rFonts w:cs="Arial"/>
        </w:rPr>
        <w:t>i</w:t>
      </w:r>
      <w:r w:rsidR="00863A1C" w:rsidRPr="00940517">
        <w:rPr>
          <w:rFonts w:cs="Arial"/>
        </w:rPr>
        <w:t>t</w:t>
      </w:r>
      <w:r w:rsidRPr="00940517">
        <w:rPr>
          <w:rFonts w:cs="Arial"/>
        </w:rPr>
        <w:t>b</w:t>
      </w:r>
      <w:r w:rsidR="00820B71" w:rsidRPr="00940517">
        <w:rPr>
          <w:rFonts w:cs="Arial"/>
        </w:rPr>
        <w:t>-amard</w:t>
      </w:r>
      <w:r w:rsidR="008B03F1" w:rsidRPr="00940517">
        <w:rPr>
          <w:rFonts w:cs="Arial"/>
        </w:rPr>
        <w:t>-</w:t>
      </w:r>
      <w:r w:rsidR="00820B71" w:rsidRPr="00940517">
        <w:rPr>
          <w:rFonts w:cs="Arial"/>
        </w:rPr>
        <w:t>ma</w:t>
      </w:r>
      <w:r w:rsidR="00863A1C" w:rsidRPr="00940517">
        <w:rPr>
          <w:rFonts w:cs="Arial"/>
        </w:rPr>
        <w:t>r</w:t>
      </w:r>
      <w:r w:rsidR="007070D7" w:rsidRPr="00940517">
        <w:rPr>
          <w:rFonts w:cs="Arial"/>
        </w:rPr>
        <w:t>2</w:t>
      </w:r>
      <w:r w:rsidR="00863A1C" w:rsidRPr="00940517">
        <w:rPr>
          <w:rFonts w:cs="Arial"/>
        </w:rPr>
        <w:t>2</w:t>
      </w:r>
      <w:r w:rsidR="00820B71" w:rsidRPr="00940517">
        <w:rPr>
          <w:rFonts w:cs="Arial"/>
        </w:rPr>
        <w:t>item0</w:t>
      </w:r>
      <w:r w:rsidR="005F24B0" w:rsidRPr="00940517">
        <w:rPr>
          <w:rFonts w:cs="Arial"/>
        </w:rPr>
        <w:t>1</w:t>
      </w:r>
    </w:p>
    <w:p w14:paraId="59B2570D" w14:textId="77777777" w:rsidR="00B723BE" w:rsidRPr="00940517" w:rsidRDefault="00B723BE" w:rsidP="000A324A">
      <w:pPr>
        <w:keepNext/>
        <w:keepLines/>
        <w:spacing w:before="120" w:after="120"/>
        <w:jc w:val="center"/>
        <w:outlineLvl w:val="0"/>
        <w:rPr>
          <w:rFonts w:cs="Arial"/>
          <w:b/>
          <w:sz w:val="40"/>
        </w:rPr>
        <w:sectPr w:rsidR="00B723BE" w:rsidRPr="00940517" w:rsidSect="000A324A">
          <w:headerReference w:type="default" r:id="rId12"/>
          <w:footerReference w:type="default" r:id="rId13"/>
          <w:headerReference w:type="first" r:id="rId14"/>
          <w:footerReference w:type="first" r:id="rId15"/>
          <w:pgSz w:w="12240" w:h="15840"/>
          <w:pgMar w:top="720" w:right="1440" w:bottom="1440" w:left="1440" w:header="720" w:footer="720" w:gutter="0"/>
          <w:cols w:num="2" w:space="720"/>
          <w:titlePg/>
          <w:docGrid w:linePitch="360"/>
        </w:sectPr>
      </w:pPr>
    </w:p>
    <w:p w14:paraId="29C28490" w14:textId="77777777" w:rsidR="006E06C6" w:rsidRPr="00940517" w:rsidRDefault="006E06C6" w:rsidP="002E0DB3">
      <w:pPr>
        <w:sectPr w:rsidR="006E06C6" w:rsidRPr="00940517" w:rsidSect="0091117B">
          <w:footerReference w:type="default" r:id="rId16"/>
          <w:headerReference w:type="first" r:id="rId17"/>
          <w:footerReference w:type="first" r:id="rId18"/>
          <w:type w:val="continuous"/>
          <w:pgSz w:w="12240" w:h="15840"/>
          <w:pgMar w:top="720" w:right="1440" w:bottom="1440" w:left="1440" w:header="720" w:footer="720" w:gutter="0"/>
          <w:cols w:space="720"/>
          <w:docGrid w:linePitch="360"/>
        </w:sectPr>
      </w:pPr>
    </w:p>
    <w:p w14:paraId="26644A67" w14:textId="15C520F2" w:rsidR="00FC1FCE" w:rsidRPr="00940517" w:rsidRDefault="0091117B" w:rsidP="7690C113">
      <w:pPr>
        <w:keepNext/>
        <w:keepLines/>
        <w:spacing w:before="240" w:after="240"/>
        <w:jc w:val="center"/>
        <w:outlineLvl w:val="0"/>
        <w:rPr>
          <w:rFonts w:cs="Arial"/>
          <w:b/>
          <w:bCs/>
          <w:sz w:val="40"/>
          <w:szCs w:val="40"/>
        </w:rPr>
      </w:pPr>
      <w:r w:rsidRPr="00940517">
        <w:rPr>
          <w:rStyle w:val="Heading1Char"/>
          <w:szCs w:val="40"/>
        </w:rPr>
        <w:t>Californ</w:t>
      </w:r>
      <w:r w:rsidR="00693951" w:rsidRPr="00940517">
        <w:rPr>
          <w:rStyle w:val="Heading1Char"/>
          <w:szCs w:val="40"/>
        </w:rPr>
        <w:t>ia State Board of Education</w:t>
      </w:r>
      <w:r w:rsidRPr="00940517">
        <w:br/>
      </w:r>
      <w:r w:rsidR="003A6E67" w:rsidRPr="00940517">
        <w:rPr>
          <w:rFonts w:cs="Arial"/>
          <w:b/>
          <w:bCs/>
          <w:sz w:val="40"/>
          <w:szCs w:val="40"/>
        </w:rPr>
        <w:t>M</w:t>
      </w:r>
      <w:r w:rsidR="007479AB" w:rsidRPr="00940517">
        <w:rPr>
          <w:rFonts w:cs="Arial"/>
          <w:b/>
          <w:bCs/>
          <w:sz w:val="40"/>
          <w:szCs w:val="40"/>
        </w:rPr>
        <w:t>arch</w:t>
      </w:r>
      <w:r w:rsidR="00820B71" w:rsidRPr="00940517">
        <w:rPr>
          <w:rFonts w:cs="Arial"/>
          <w:b/>
          <w:bCs/>
          <w:sz w:val="40"/>
          <w:szCs w:val="40"/>
        </w:rPr>
        <w:t xml:space="preserve"> </w:t>
      </w:r>
      <w:r w:rsidR="000A3FDA" w:rsidRPr="00940517">
        <w:rPr>
          <w:rFonts w:cs="Arial"/>
          <w:b/>
          <w:bCs/>
          <w:sz w:val="40"/>
          <w:szCs w:val="40"/>
        </w:rPr>
        <w:t>2022</w:t>
      </w:r>
      <w:r w:rsidRPr="00940517">
        <w:rPr>
          <w:rFonts w:cs="Arial"/>
          <w:b/>
          <w:bCs/>
          <w:sz w:val="40"/>
          <w:szCs w:val="40"/>
        </w:rPr>
        <w:t xml:space="preserve"> Agenda</w:t>
      </w:r>
      <w:r w:rsidRPr="00940517">
        <w:br/>
      </w:r>
      <w:r w:rsidR="00FC1FCE" w:rsidRPr="00940517">
        <w:rPr>
          <w:rFonts w:cs="Arial"/>
          <w:b/>
          <w:bCs/>
          <w:sz w:val="40"/>
          <w:szCs w:val="40"/>
        </w:rPr>
        <w:t>Item</w:t>
      </w:r>
      <w:r w:rsidR="00692300" w:rsidRPr="00940517">
        <w:rPr>
          <w:rFonts w:cs="Arial"/>
          <w:b/>
          <w:bCs/>
          <w:sz w:val="40"/>
          <w:szCs w:val="40"/>
        </w:rPr>
        <w:t xml:space="preserve"> #</w:t>
      </w:r>
      <w:r w:rsidR="00940517" w:rsidRPr="00940517">
        <w:rPr>
          <w:rFonts w:cs="Arial"/>
          <w:b/>
          <w:bCs/>
          <w:sz w:val="40"/>
          <w:szCs w:val="40"/>
        </w:rPr>
        <w:t>04</w:t>
      </w:r>
    </w:p>
    <w:p w14:paraId="70870CD5" w14:textId="77777777" w:rsidR="00FC1FCE" w:rsidRPr="00940517" w:rsidRDefault="00FC1FCE" w:rsidP="000A324A">
      <w:pPr>
        <w:pStyle w:val="Heading2"/>
        <w:spacing w:before="240" w:after="240"/>
        <w:rPr>
          <w:rFonts w:cs="Arial"/>
          <w:szCs w:val="36"/>
        </w:rPr>
      </w:pPr>
      <w:r w:rsidRPr="00940517">
        <w:rPr>
          <w:rFonts w:cs="Arial"/>
          <w:szCs w:val="36"/>
        </w:rPr>
        <w:t>Subject</w:t>
      </w:r>
    </w:p>
    <w:p w14:paraId="08044929" w14:textId="6B984393" w:rsidR="00692300" w:rsidRPr="00940517" w:rsidRDefault="2D2645AB" w:rsidP="00B73105">
      <w:pPr>
        <w:spacing w:after="240"/>
        <w:rPr>
          <w:rFonts w:cs="Arial"/>
        </w:rPr>
      </w:pPr>
      <w:r w:rsidRPr="00940517">
        <w:rPr>
          <w:rFonts w:cs="Arial"/>
        </w:rPr>
        <w:t>Update on the Implementation of the</w:t>
      </w:r>
      <w:r w:rsidR="3E33DCC6" w:rsidRPr="00940517">
        <w:rPr>
          <w:rFonts w:cs="Arial"/>
        </w:rPr>
        <w:t xml:space="preserve"> Integrated Local, State, and Federal Accountability and Contin</w:t>
      </w:r>
      <w:r w:rsidR="2C70F6C5" w:rsidRPr="00940517">
        <w:rPr>
          <w:rFonts w:cs="Arial"/>
        </w:rPr>
        <w:t xml:space="preserve">uous Improvement System: </w:t>
      </w:r>
      <w:r w:rsidR="08D4D25C" w:rsidRPr="00940517">
        <w:rPr>
          <w:rFonts w:cs="Arial"/>
        </w:rPr>
        <w:t>202</w:t>
      </w:r>
      <w:r w:rsidR="541587D0" w:rsidRPr="00940517">
        <w:rPr>
          <w:rFonts w:cs="Arial"/>
        </w:rPr>
        <w:t>0–2</w:t>
      </w:r>
      <w:r w:rsidR="08D4D25C" w:rsidRPr="00940517">
        <w:rPr>
          <w:rFonts w:cs="Arial"/>
        </w:rPr>
        <w:t>1 Data Release,</w:t>
      </w:r>
      <w:r w:rsidR="7F53720E" w:rsidRPr="00940517">
        <w:rPr>
          <w:rFonts w:cs="Arial"/>
        </w:rPr>
        <w:t xml:space="preserve"> </w:t>
      </w:r>
      <w:r w:rsidR="08D4D25C" w:rsidRPr="00940517">
        <w:rPr>
          <w:rFonts w:cs="Arial"/>
        </w:rPr>
        <w:t xml:space="preserve">2022 Accountability Considerations, </w:t>
      </w:r>
      <w:r w:rsidR="7F53720E" w:rsidRPr="00940517">
        <w:rPr>
          <w:rFonts w:cs="Arial"/>
        </w:rPr>
        <w:t>Continuing Development Work for Future California School Dashboards</w:t>
      </w:r>
      <w:r w:rsidR="56FCFA83" w:rsidRPr="00940517">
        <w:rPr>
          <w:rFonts w:cs="Arial"/>
        </w:rPr>
        <w:t>,</w:t>
      </w:r>
      <w:r w:rsidR="03DAEF9B" w:rsidRPr="00940517">
        <w:rPr>
          <w:rFonts w:cs="Arial"/>
        </w:rPr>
        <w:t xml:space="preserve"> California’s Dashboard Alternative School Status </w:t>
      </w:r>
      <w:r w:rsidR="452C28BB" w:rsidRPr="00940517">
        <w:rPr>
          <w:rFonts w:cs="Arial"/>
        </w:rPr>
        <w:t>Program</w:t>
      </w:r>
      <w:r w:rsidR="03DAEF9B" w:rsidRPr="00940517">
        <w:rPr>
          <w:rFonts w:cs="Arial"/>
        </w:rPr>
        <w:t>, and the 2021</w:t>
      </w:r>
      <w:r w:rsidR="547F1182" w:rsidRPr="00940517">
        <w:rPr>
          <w:rFonts w:cs="Arial"/>
        </w:rPr>
        <w:t>–</w:t>
      </w:r>
      <w:r w:rsidR="03DAEF9B" w:rsidRPr="00940517">
        <w:rPr>
          <w:rFonts w:cs="Arial"/>
        </w:rPr>
        <w:t xml:space="preserve">2022 Addendum Template for the </w:t>
      </w:r>
      <w:r w:rsidR="547F1182" w:rsidRPr="00940517">
        <w:rPr>
          <w:rFonts w:cs="Arial"/>
        </w:rPr>
        <w:t xml:space="preserve">Elementary and Secondary Education Act </w:t>
      </w:r>
      <w:r w:rsidR="03DAEF9B" w:rsidRPr="00940517">
        <w:rPr>
          <w:rFonts w:cs="Arial"/>
        </w:rPr>
        <w:t>Consolidated State Plan.</w:t>
      </w:r>
    </w:p>
    <w:p w14:paraId="27774E16" w14:textId="77777777" w:rsidR="00FC1FCE" w:rsidRPr="00940517" w:rsidRDefault="00FC1FCE" w:rsidP="00B73105">
      <w:pPr>
        <w:pStyle w:val="Heading2"/>
        <w:spacing w:before="0" w:after="240"/>
        <w:rPr>
          <w:rFonts w:cs="Arial"/>
          <w:szCs w:val="36"/>
        </w:rPr>
      </w:pPr>
      <w:r w:rsidRPr="00940517">
        <w:rPr>
          <w:rFonts w:cs="Arial"/>
          <w:szCs w:val="36"/>
        </w:rPr>
        <w:t>Type of Action</w:t>
      </w:r>
    </w:p>
    <w:p w14:paraId="26FB7191" w14:textId="1DC30636" w:rsidR="0091117B" w:rsidRPr="00940517" w:rsidRDefault="00820B71" w:rsidP="00FD1D1C">
      <w:pPr>
        <w:spacing w:after="240"/>
        <w:rPr>
          <w:rFonts w:cs="Arial"/>
        </w:rPr>
      </w:pPr>
      <w:r w:rsidRPr="00940517">
        <w:rPr>
          <w:rFonts w:cs="Arial"/>
        </w:rPr>
        <w:t>Information</w:t>
      </w:r>
      <w:r w:rsidR="00863A1C" w:rsidRPr="00940517">
        <w:rPr>
          <w:rFonts w:cs="Arial"/>
        </w:rPr>
        <w:t>, Action</w:t>
      </w:r>
    </w:p>
    <w:p w14:paraId="17409DC5" w14:textId="77777777" w:rsidR="00FC1FCE" w:rsidRPr="00940517" w:rsidRDefault="00FC1FCE" w:rsidP="00FD1D1C">
      <w:pPr>
        <w:pStyle w:val="Heading2"/>
        <w:spacing w:before="0" w:after="240"/>
        <w:rPr>
          <w:rFonts w:cs="Arial"/>
          <w:szCs w:val="36"/>
        </w:rPr>
      </w:pPr>
      <w:r w:rsidRPr="00940517">
        <w:rPr>
          <w:rFonts w:cs="Arial"/>
          <w:szCs w:val="36"/>
        </w:rPr>
        <w:t>Summary of the Issue(s)</w:t>
      </w:r>
    </w:p>
    <w:p w14:paraId="41BD22A1" w14:textId="4E621B0B" w:rsidR="00835968" w:rsidRPr="00940517" w:rsidRDefault="7925AFB9" w:rsidP="00CE15DC">
      <w:pPr>
        <w:spacing w:after="240"/>
        <w:rPr>
          <w:rFonts w:cs="Arial"/>
        </w:rPr>
      </w:pPr>
      <w:r w:rsidRPr="00940517">
        <w:rPr>
          <w:rFonts w:cs="Arial"/>
        </w:rPr>
        <w:t xml:space="preserve">For the past two school years, </w:t>
      </w:r>
      <w:r w:rsidR="6BB96E75" w:rsidRPr="00940517">
        <w:rPr>
          <w:rFonts w:cs="Arial"/>
        </w:rPr>
        <w:t xml:space="preserve">many state and federal </w:t>
      </w:r>
      <w:r w:rsidR="1C065824" w:rsidRPr="00940517">
        <w:rPr>
          <w:rFonts w:cs="Arial"/>
        </w:rPr>
        <w:t xml:space="preserve">accountability </w:t>
      </w:r>
      <w:r w:rsidR="6BB96E75" w:rsidRPr="00940517">
        <w:rPr>
          <w:rFonts w:cs="Arial"/>
        </w:rPr>
        <w:t xml:space="preserve">requirements were waived or adjusted </w:t>
      </w:r>
      <w:r w:rsidR="396A93F6" w:rsidRPr="00940517">
        <w:rPr>
          <w:rFonts w:cs="Arial"/>
        </w:rPr>
        <w:t>due to</w:t>
      </w:r>
      <w:r w:rsidR="2E5BB1AE" w:rsidRPr="00940517">
        <w:rPr>
          <w:rFonts w:cs="Arial"/>
        </w:rPr>
        <w:t xml:space="preserve"> the</w:t>
      </w:r>
      <w:r w:rsidR="396A93F6" w:rsidRPr="00940517">
        <w:rPr>
          <w:rFonts w:cs="Arial"/>
        </w:rPr>
        <w:t xml:space="preserve"> impact of the 2019 novel coronavirus disease (COVID-19) pandemic on</w:t>
      </w:r>
      <w:r w:rsidR="2E5BB1AE" w:rsidRPr="00940517">
        <w:rPr>
          <w:rFonts w:cs="Arial"/>
        </w:rPr>
        <w:t xml:space="preserve"> </w:t>
      </w:r>
      <w:r w:rsidR="6BB96E75" w:rsidRPr="00940517">
        <w:rPr>
          <w:rFonts w:cs="Arial"/>
        </w:rPr>
        <w:t>local educational agencies</w:t>
      </w:r>
      <w:r w:rsidR="1C065824" w:rsidRPr="00940517">
        <w:rPr>
          <w:rFonts w:cs="Arial"/>
        </w:rPr>
        <w:t xml:space="preserve"> (LEAs)</w:t>
      </w:r>
      <w:r w:rsidR="396A93F6" w:rsidRPr="00940517">
        <w:rPr>
          <w:rFonts w:cs="Arial"/>
        </w:rPr>
        <w:t>,</w:t>
      </w:r>
      <w:r w:rsidR="3C7A9D92" w:rsidRPr="00940517">
        <w:rPr>
          <w:rFonts w:cs="Arial"/>
        </w:rPr>
        <w:t xml:space="preserve"> </w:t>
      </w:r>
      <w:r w:rsidR="6BB96E75" w:rsidRPr="00940517">
        <w:rPr>
          <w:rFonts w:cs="Arial"/>
        </w:rPr>
        <w:t>schools</w:t>
      </w:r>
      <w:r w:rsidR="396A93F6" w:rsidRPr="00940517">
        <w:rPr>
          <w:rFonts w:cs="Arial"/>
        </w:rPr>
        <w:t>, and students.</w:t>
      </w:r>
      <w:r w:rsidR="3426025C" w:rsidRPr="00940517">
        <w:rPr>
          <w:rFonts w:cs="Arial"/>
        </w:rPr>
        <w:t xml:space="preserve"> Beginning </w:t>
      </w:r>
      <w:r w:rsidR="1BBB2131" w:rsidRPr="00940517">
        <w:rPr>
          <w:rFonts w:cs="Arial"/>
        </w:rPr>
        <w:t>with</w:t>
      </w:r>
      <w:r w:rsidRPr="00940517">
        <w:rPr>
          <w:rFonts w:cs="Arial"/>
        </w:rPr>
        <w:t xml:space="preserve"> the 2021–22 school year, the requirements to hold schools and district</w:t>
      </w:r>
      <w:r w:rsidR="396A93F6" w:rsidRPr="00940517">
        <w:rPr>
          <w:rFonts w:cs="Arial"/>
        </w:rPr>
        <w:t>s</w:t>
      </w:r>
      <w:r w:rsidRPr="00940517">
        <w:rPr>
          <w:rFonts w:cs="Arial"/>
        </w:rPr>
        <w:t xml:space="preserve"> accountabl</w:t>
      </w:r>
      <w:r w:rsidR="0CE027B0" w:rsidRPr="00940517">
        <w:rPr>
          <w:rFonts w:cs="Arial"/>
        </w:rPr>
        <w:t>e</w:t>
      </w:r>
      <w:r w:rsidRPr="00940517">
        <w:rPr>
          <w:rFonts w:cs="Arial"/>
        </w:rPr>
        <w:t xml:space="preserve"> for student outcomes is being restarted. With this restart, the State Board of Education (SBE) </w:t>
      </w:r>
      <w:r w:rsidR="55BAEAD2" w:rsidRPr="00940517">
        <w:rPr>
          <w:rFonts w:cs="Arial"/>
        </w:rPr>
        <w:t xml:space="preserve">is </w:t>
      </w:r>
      <w:r w:rsidR="7623CF49" w:rsidRPr="00940517">
        <w:rPr>
          <w:rFonts w:cs="Arial"/>
        </w:rPr>
        <w:t>be</w:t>
      </w:r>
      <w:r w:rsidR="452C28BB" w:rsidRPr="00940517">
        <w:rPr>
          <w:rFonts w:cs="Arial"/>
        </w:rPr>
        <w:t>ing</w:t>
      </w:r>
      <w:r w:rsidR="7623CF49" w:rsidRPr="00940517">
        <w:rPr>
          <w:rFonts w:cs="Arial"/>
        </w:rPr>
        <w:t xml:space="preserve"> asked</w:t>
      </w:r>
      <w:r w:rsidRPr="00940517">
        <w:rPr>
          <w:rFonts w:cs="Arial"/>
        </w:rPr>
        <w:t xml:space="preserve"> to take into consideration the limitations of available statewide data</w:t>
      </w:r>
      <w:r w:rsidR="396A93F6" w:rsidRPr="00940517">
        <w:rPr>
          <w:rFonts w:cs="Arial"/>
        </w:rPr>
        <w:t>,</w:t>
      </w:r>
      <w:r w:rsidRPr="00940517">
        <w:rPr>
          <w:rFonts w:cs="Arial"/>
        </w:rPr>
        <w:t xml:space="preserve"> requirements outline</w:t>
      </w:r>
      <w:r w:rsidR="7623CF49" w:rsidRPr="00940517">
        <w:rPr>
          <w:rFonts w:cs="Arial"/>
        </w:rPr>
        <w:t>d</w:t>
      </w:r>
      <w:r w:rsidRPr="00940517">
        <w:rPr>
          <w:rFonts w:cs="Arial"/>
        </w:rPr>
        <w:t xml:space="preserve"> in state law</w:t>
      </w:r>
      <w:r w:rsidR="396A93F6" w:rsidRPr="00940517">
        <w:rPr>
          <w:rFonts w:cs="Arial"/>
        </w:rPr>
        <w:t>,</w:t>
      </w:r>
      <w:r w:rsidRPr="00940517">
        <w:rPr>
          <w:rFonts w:cs="Arial"/>
        </w:rPr>
        <w:t xml:space="preserve"> and the 2021 waiver of accountability requirements from the U.S. Department of Education</w:t>
      </w:r>
      <w:r w:rsidR="5484A705" w:rsidRPr="00940517">
        <w:rPr>
          <w:rFonts w:cs="Arial"/>
        </w:rPr>
        <w:t xml:space="preserve"> (ED)</w:t>
      </w:r>
      <w:r w:rsidRPr="00940517">
        <w:rPr>
          <w:rFonts w:cs="Arial"/>
        </w:rPr>
        <w:t>.</w:t>
      </w:r>
    </w:p>
    <w:p w14:paraId="7B1184D4" w14:textId="147AB5B5" w:rsidR="003F50A3" w:rsidRPr="00940517" w:rsidRDefault="452C28BB" w:rsidP="0E36A200">
      <w:pPr>
        <w:spacing w:after="100" w:afterAutospacing="1"/>
        <w:rPr>
          <w:rFonts w:cs="Arial"/>
        </w:rPr>
      </w:pPr>
      <w:r w:rsidRPr="00940517">
        <w:rPr>
          <w:rFonts w:cs="Arial"/>
        </w:rPr>
        <w:t>Attachment 1</w:t>
      </w:r>
      <w:r w:rsidR="541587D0" w:rsidRPr="00940517">
        <w:rPr>
          <w:rFonts w:cs="Arial"/>
        </w:rPr>
        <w:t xml:space="preserve"> </w:t>
      </w:r>
      <w:r w:rsidR="4A0F6906" w:rsidRPr="00940517">
        <w:rPr>
          <w:rFonts w:cs="Arial"/>
        </w:rPr>
        <w:t>provides</w:t>
      </w:r>
      <w:r w:rsidR="541587D0" w:rsidRPr="00940517">
        <w:rPr>
          <w:rFonts w:cs="Arial"/>
        </w:rPr>
        <w:t xml:space="preserve"> an update on </w:t>
      </w:r>
      <w:r w:rsidR="7624969D" w:rsidRPr="00940517">
        <w:rPr>
          <w:rFonts w:cs="Arial"/>
        </w:rPr>
        <w:t xml:space="preserve">accountability related </w:t>
      </w:r>
      <w:r w:rsidR="541587D0" w:rsidRPr="00940517">
        <w:rPr>
          <w:rFonts w:cs="Arial"/>
        </w:rPr>
        <w:t xml:space="preserve">work </w:t>
      </w:r>
      <w:r w:rsidR="7624969D" w:rsidRPr="00940517">
        <w:rPr>
          <w:rFonts w:cs="Arial"/>
        </w:rPr>
        <w:t>and seeks guidance</w:t>
      </w:r>
      <w:r w:rsidR="4A0F6906" w:rsidRPr="00940517">
        <w:rPr>
          <w:rFonts w:cs="Arial"/>
        </w:rPr>
        <w:t xml:space="preserve"> from the SBE</w:t>
      </w:r>
      <w:r w:rsidR="7624969D" w:rsidRPr="00940517">
        <w:rPr>
          <w:rFonts w:cs="Arial"/>
        </w:rPr>
        <w:t xml:space="preserve"> on activities under consideration.</w:t>
      </w:r>
      <w:r w:rsidR="65412026" w:rsidRPr="00940517">
        <w:rPr>
          <w:rFonts w:cs="Arial"/>
        </w:rPr>
        <w:t xml:space="preserve"> </w:t>
      </w:r>
      <w:r w:rsidR="4A0F6906" w:rsidRPr="00940517">
        <w:rPr>
          <w:rFonts w:cs="Arial"/>
        </w:rPr>
        <w:t>Specifically, t</w:t>
      </w:r>
      <w:r w:rsidR="7624969D" w:rsidRPr="00940517">
        <w:rPr>
          <w:rFonts w:cs="Arial"/>
        </w:rPr>
        <w:t>his item provides an overview of the 2020–21 Data Release</w:t>
      </w:r>
      <w:r w:rsidR="7CD2FE45" w:rsidRPr="00940517">
        <w:rPr>
          <w:rFonts w:cs="Arial"/>
        </w:rPr>
        <w:t>,</w:t>
      </w:r>
      <w:r w:rsidR="7624969D" w:rsidRPr="00940517">
        <w:rPr>
          <w:rFonts w:cs="Arial"/>
        </w:rPr>
        <w:t xml:space="preserve"> items for considerations for the </w:t>
      </w:r>
      <w:r w:rsidR="43D9FBB5" w:rsidRPr="00940517">
        <w:rPr>
          <w:rFonts w:cs="Arial"/>
        </w:rPr>
        <w:t xml:space="preserve">accountability </w:t>
      </w:r>
      <w:r w:rsidR="347617B2" w:rsidRPr="00940517">
        <w:rPr>
          <w:rFonts w:cs="Arial"/>
        </w:rPr>
        <w:t>work plan for 2022</w:t>
      </w:r>
      <w:r w:rsidR="7CD2FE45" w:rsidRPr="00940517">
        <w:rPr>
          <w:rFonts w:cs="Arial"/>
        </w:rPr>
        <w:t xml:space="preserve">, and considerations for </w:t>
      </w:r>
      <w:r w:rsidR="201791D6" w:rsidRPr="00940517">
        <w:rPr>
          <w:rFonts w:cs="Arial"/>
        </w:rPr>
        <w:t>work beyond 2022</w:t>
      </w:r>
      <w:r w:rsidR="347617B2" w:rsidRPr="00940517">
        <w:rPr>
          <w:rFonts w:cs="Arial"/>
        </w:rPr>
        <w:t>.</w:t>
      </w:r>
      <w:r w:rsidRPr="00940517">
        <w:rPr>
          <w:rFonts w:cs="Arial"/>
        </w:rPr>
        <w:t xml:space="preserve"> Also, a summary of recent outreach activities related to accountability are provided in Attachment 2.</w:t>
      </w:r>
    </w:p>
    <w:p w14:paraId="7241AC21" w14:textId="24B45355" w:rsidR="00EB1EA9" w:rsidRPr="00940517" w:rsidRDefault="6A9F9C1D" w:rsidP="0E36A200">
      <w:pPr>
        <w:spacing w:after="100" w:afterAutospacing="1"/>
        <w:rPr>
          <w:rFonts w:cs="Arial"/>
        </w:rPr>
      </w:pPr>
      <w:r w:rsidRPr="00940517">
        <w:rPr>
          <w:rFonts w:cs="Arial"/>
        </w:rPr>
        <w:t xml:space="preserve">Additionally, this item discusses the recent letter from </w:t>
      </w:r>
      <w:r w:rsidR="452C28BB" w:rsidRPr="00940517">
        <w:rPr>
          <w:rFonts w:cs="Arial"/>
        </w:rPr>
        <w:t xml:space="preserve">the </w:t>
      </w:r>
      <w:r w:rsidRPr="00940517">
        <w:rPr>
          <w:rFonts w:cs="Arial"/>
        </w:rPr>
        <w:t>ED denying the January 2021 SBE approved amendments to California’s E</w:t>
      </w:r>
      <w:r w:rsidR="452C28BB" w:rsidRPr="00940517">
        <w:rPr>
          <w:rFonts w:cs="Arial"/>
        </w:rPr>
        <w:t xml:space="preserve">very </w:t>
      </w:r>
      <w:r w:rsidRPr="00940517">
        <w:rPr>
          <w:rFonts w:cs="Arial"/>
        </w:rPr>
        <w:t>S</w:t>
      </w:r>
      <w:r w:rsidR="452C28BB" w:rsidRPr="00940517">
        <w:rPr>
          <w:rFonts w:cs="Arial"/>
        </w:rPr>
        <w:t xml:space="preserve">tudent </w:t>
      </w:r>
      <w:r w:rsidRPr="00940517">
        <w:rPr>
          <w:rFonts w:cs="Arial"/>
        </w:rPr>
        <w:t>S</w:t>
      </w:r>
      <w:r w:rsidR="452C28BB" w:rsidRPr="00940517">
        <w:rPr>
          <w:rFonts w:cs="Arial"/>
        </w:rPr>
        <w:t xml:space="preserve">ucceeds </w:t>
      </w:r>
      <w:r w:rsidRPr="00940517">
        <w:rPr>
          <w:rFonts w:cs="Arial"/>
        </w:rPr>
        <w:t>A</w:t>
      </w:r>
      <w:r w:rsidR="452C28BB" w:rsidRPr="00940517">
        <w:rPr>
          <w:rFonts w:cs="Arial"/>
        </w:rPr>
        <w:t>ct (ESSA)</w:t>
      </w:r>
      <w:r w:rsidRPr="00940517">
        <w:rPr>
          <w:rFonts w:cs="Arial"/>
        </w:rPr>
        <w:t xml:space="preserve"> State Plan. These amendments sought to bring the Dashboard Alternative School Status (</w:t>
      </w:r>
      <w:bookmarkStart w:id="0" w:name="_Hlk95304358"/>
      <w:r w:rsidRPr="00940517">
        <w:rPr>
          <w:rFonts w:cs="Arial"/>
        </w:rPr>
        <w:t xml:space="preserve">DASS) modified methods business rules for calculating the Academic Achievement </w:t>
      </w:r>
      <w:r w:rsidRPr="00940517">
        <w:rPr>
          <w:rFonts w:cs="Arial"/>
        </w:rPr>
        <w:lastRenderedPageBreak/>
        <w:t xml:space="preserve">and Graduation Rate </w:t>
      </w:r>
      <w:r w:rsidR="3D3EA441" w:rsidRPr="00940517">
        <w:rPr>
          <w:rFonts w:cs="Arial"/>
        </w:rPr>
        <w:t>I</w:t>
      </w:r>
      <w:r w:rsidRPr="00940517">
        <w:rPr>
          <w:rFonts w:cs="Arial"/>
        </w:rPr>
        <w:t>ndicators</w:t>
      </w:r>
      <w:bookmarkEnd w:id="0"/>
      <w:r w:rsidRPr="00940517">
        <w:rPr>
          <w:rFonts w:cs="Arial"/>
        </w:rPr>
        <w:t xml:space="preserve"> into compliance with Elementary and Secondary Education Act (ESEA) requirements.</w:t>
      </w:r>
      <w:r w:rsidR="58FE2B4E" w:rsidRPr="00940517">
        <w:rPr>
          <w:rFonts w:cs="Arial"/>
        </w:rPr>
        <w:t xml:space="preserve"> Given the denial from ED, the CDE is proposing to pursue a waiver to allow California to maintain DASS modified methods business rules for calculating the Academic Achievement and Graduation Rate </w:t>
      </w:r>
      <w:r w:rsidR="3D3EA441" w:rsidRPr="00940517">
        <w:rPr>
          <w:rFonts w:cs="Arial"/>
        </w:rPr>
        <w:t>I</w:t>
      </w:r>
      <w:r w:rsidR="58FE2B4E" w:rsidRPr="00940517">
        <w:rPr>
          <w:rFonts w:cs="Arial"/>
        </w:rPr>
        <w:t>ndicators</w:t>
      </w:r>
      <w:r w:rsidR="55BAEAD2" w:rsidRPr="00940517">
        <w:rPr>
          <w:rFonts w:cs="Arial"/>
        </w:rPr>
        <w:t>. This information is detailed in Attachment 3.</w:t>
      </w:r>
    </w:p>
    <w:p w14:paraId="3407CD0A" w14:textId="2F089AAB" w:rsidR="00974E0F" w:rsidRPr="00940517" w:rsidRDefault="452C28BB" w:rsidP="0E36A200">
      <w:pPr>
        <w:spacing w:after="100" w:afterAutospacing="1"/>
        <w:rPr>
          <w:rFonts w:cs="Arial"/>
        </w:rPr>
      </w:pPr>
      <w:r w:rsidRPr="00940517">
        <w:rPr>
          <w:rFonts w:cs="Arial"/>
        </w:rPr>
        <w:t>Attachment 4 provides California’s draft of</w:t>
      </w:r>
      <w:r w:rsidR="3AB7B25D" w:rsidRPr="00940517">
        <w:rPr>
          <w:rFonts w:cs="Arial"/>
        </w:rPr>
        <w:t xml:space="preserve"> </w:t>
      </w:r>
      <w:bookmarkStart w:id="1" w:name="_Hlk95298674"/>
      <w:bookmarkStart w:id="2" w:name="_Hlk95296653"/>
      <w:r w:rsidR="3AB7B25D" w:rsidRPr="00940517">
        <w:rPr>
          <w:rFonts w:cs="Arial"/>
        </w:rPr>
        <w:t xml:space="preserve">the </w:t>
      </w:r>
      <w:bookmarkStart w:id="3" w:name="_Hlk95306781"/>
      <w:r w:rsidR="3AB7B25D" w:rsidRPr="00940517">
        <w:rPr>
          <w:rFonts w:cs="Arial"/>
        </w:rPr>
        <w:t>2021</w:t>
      </w:r>
      <w:r w:rsidR="3D3FF3D3" w:rsidRPr="00940517">
        <w:rPr>
          <w:rFonts w:cs="Arial"/>
        </w:rPr>
        <w:t>–</w:t>
      </w:r>
      <w:r w:rsidR="3AB7B25D" w:rsidRPr="00940517">
        <w:rPr>
          <w:rFonts w:cs="Arial"/>
        </w:rPr>
        <w:t xml:space="preserve">22 </w:t>
      </w:r>
      <w:bookmarkStart w:id="4" w:name="_Hlk94856714"/>
      <w:r w:rsidR="3AB7B25D" w:rsidRPr="00940517">
        <w:rPr>
          <w:rFonts w:cs="Arial"/>
        </w:rPr>
        <w:t>Addendum Template</w:t>
      </w:r>
      <w:bookmarkEnd w:id="4"/>
      <w:r w:rsidR="3AB7B25D" w:rsidRPr="00940517">
        <w:rPr>
          <w:rFonts w:cs="Arial"/>
        </w:rPr>
        <w:t xml:space="preserve"> for the Consolidated State Plan</w:t>
      </w:r>
      <w:bookmarkEnd w:id="1"/>
      <w:bookmarkEnd w:id="2"/>
      <w:bookmarkEnd w:id="3"/>
      <w:r w:rsidRPr="00940517">
        <w:rPr>
          <w:rFonts w:cs="Arial"/>
        </w:rPr>
        <w:t xml:space="preserve"> due to COVID-19</w:t>
      </w:r>
      <w:r w:rsidR="629504C1" w:rsidRPr="00940517">
        <w:rPr>
          <w:rFonts w:cs="Arial"/>
        </w:rPr>
        <w:t>. The purpose of this addendum is to provide states a streamlined process to modify state plans for the 2021</w:t>
      </w:r>
      <w:r w:rsidRPr="00940517">
        <w:rPr>
          <w:rFonts w:cs="Arial"/>
        </w:rPr>
        <w:t>–</w:t>
      </w:r>
      <w:r w:rsidR="629504C1" w:rsidRPr="00940517">
        <w:rPr>
          <w:rFonts w:cs="Arial"/>
        </w:rPr>
        <w:t>22 school year as they implement accountability and school identification requirements under the ESEA in Fall 2022.</w:t>
      </w:r>
      <w:r w:rsidR="30A35A5C" w:rsidRPr="00940517">
        <w:rPr>
          <w:rFonts w:cs="Arial"/>
        </w:rPr>
        <w:t xml:space="preserve"> T</w:t>
      </w:r>
      <w:r w:rsidR="57F4275D" w:rsidRPr="00940517">
        <w:rPr>
          <w:rFonts w:cs="Arial"/>
        </w:rPr>
        <w:t xml:space="preserve">he CDE is proposing to </w:t>
      </w:r>
      <w:r w:rsidR="30A35A5C" w:rsidRPr="00940517">
        <w:rPr>
          <w:rFonts w:cs="Arial"/>
        </w:rPr>
        <w:t xml:space="preserve">take advantage of the flexibilities offered by the template in the following ways: 1) </w:t>
      </w:r>
      <w:r w:rsidR="57F4275D" w:rsidRPr="00940517">
        <w:rPr>
          <w:rFonts w:cs="Arial"/>
        </w:rPr>
        <w:t>revis</w:t>
      </w:r>
      <w:r w:rsidR="0D24A1FC" w:rsidRPr="00940517">
        <w:rPr>
          <w:rFonts w:cs="Arial"/>
        </w:rPr>
        <w:t>ing</w:t>
      </w:r>
      <w:r w:rsidR="57F4275D" w:rsidRPr="00940517">
        <w:rPr>
          <w:rFonts w:cs="Arial"/>
        </w:rPr>
        <w:t xml:space="preserve"> the state’s long-term goals and interim progress </w:t>
      </w:r>
      <w:r w:rsidR="30A35A5C" w:rsidRPr="00940517">
        <w:rPr>
          <w:rFonts w:cs="Arial"/>
        </w:rPr>
        <w:t xml:space="preserve">by shifting the timeline forward by two years for </w:t>
      </w:r>
      <w:r w:rsidR="0D24A1FC" w:rsidRPr="00940517">
        <w:rPr>
          <w:rFonts w:cs="Arial"/>
        </w:rPr>
        <w:t>measurements of interim progress</w:t>
      </w:r>
      <w:r w:rsidR="30A35A5C" w:rsidRPr="00940517">
        <w:rPr>
          <w:rFonts w:cs="Arial"/>
        </w:rPr>
        <w:t>; 2) exclud</w:t>
      </w:r>
      <w:r w:rsidR="0D24A1FC" w:rsidRPr="00940517">
        <w:rPr>
          <w:rFonts w:cs="Arial"/>
        </w:rPr>
        <w:t>ing</w:t>
      </w:r>
      <w:r w:rsidR="30A35A5C" w:rsidRPr="00940517">
        <w:rPr>
          <w:rFonts w:cs="Arial"/>
        </w:rPr>
        <w:t xml:space="preserve"> the </w:t>
      </w:r>
      <w:r w:rsidR="083CB87A" w:rsidRPr="00940517">
        <w:rPr>
          <w:rFonts w:cs="Arial"/>
        </w:rPr>
        <w:t xml:space="preserve">College/Career Indicator from the state’s accountability system for the 2021–22 school year due to the </w:t>
      </w:r>
      <w:r w:rsidR="460C9309" w:rsidRPr="00940517">
        <w:rPr>
          <w:rFonts w:cs="Arial"/>
        </w:rPr>
        <w:t>limitations</w:t>
      </w:r>
      <w:r w:rsidR="083CB87A" w:rsidRPr="00940517">
        <w:rPr>
          <w:rFonts w:cs="Arial"/>
        </w:rPr>
        <w:t xml:space="preserve"> of </w:t>
      </w:r>
      <w:r w:rsidR="3D3EA441" w:rsidRPr="00940517">
        <w:rPr>
          <w:rFonts w:cs="Arial"/>
        </w:rPr>
        <w:t xml:space="preserve">2021 </w:t>
      </w:r>
      <w:r w:rsidR="083CB87A" w:rsidRPr="00940517">
        <w:rPr>
          <w:rFonts w:cs="Arial"/>
        </w:rPr>
        <w:t>statewide grade eleven assessment data; 3) shifting forward timelines by one year for identifying schools</w:t>
      </w:r>
      <w:r w:rsidR="0D24A1FC" w:rsidRPr="00940517">
        <w:rPr>
          <w:rFonts w:cs="Arial"/>
        </w:rPr>
        <w:t xml:space="preserve">; and 4) revising the </w:t>
      </w:r>
      <w:r w:rsidRPr="00940517">
        <w:rPr>
          <w:rFonts w:cs="Arial"/>
        </w:rPr>
        <w:t xml:space="preserve">entrance and </w:t>
      </w:r>
      <w:r w:rsidR="0D24A1FC" w:rsidRPr="00940517">
        <w:rPr>
          <w:rFonts w:cs="Arial"/>
        </w:rPr>
        <w:t>exit criteria for schools identified for support.</w:t>
      </w:r>
    </w:p>
    <w:p w14:paraId="0008FB67" w14:textId="77777777" w:rsidR="00766CCF" w:rsidRPr="00940517" w:rsidRDefault="2D14FD56" w:rsidP="00766CCF">
      <w:pPr>
        <w:pStyle w:val="Heading2"/>
        <w:spacing w:after="240"/>
      </w:pPr>
      <w:r w:rsidRPr="00940517">
        <w:t>Recommendation</w:t>
      </w:r>
    </w:p>
    <w:p w14:paraId="65B98239" w14:textId="5C09FC38" w:rsidR="00395D37" w:rsidRPr="00940517" w:rsidRDefault="57C2BAFB" w:rsidP="0E36A200">
      <w:pPr>
        <w:spacing w:after="240"/>
        <w:rPr>
          <w:rFonts w:eastAsiaTheme="majorEastAsia"/>
        </w:rPr>
      </w:pPr>
      <w:r w:rsidRPr="00940517">
        <w:rPr>
          <w:rFonts w:eastAsiaTheme="majorEastAsia"/>
        </w:rPr>
        <w:t xml:space="preserve">The </w:t>
      </w:r>
      <w:r w:rsidR="4A0F6906" w:rsidRPr="00940517">
        <w:rPr>
          <w:rFonts w:cs="Arial"/>
        </w:rPr>
        <w:t xml:space="preserve">California Department of Education (CDE) </w:t>
      </w:r>
      <w:r w:rsidRPr="00940517">
        <w:rPr>
          <w:rFonts w:eastAsiaTheme="majorEastAsia"/>
        </w:rPr>
        <w:t>recommends that the SBE take action</w:t>
      </w:r>
      <w:r w:rsidR="17E1BBBF" w:rsidRPr="00940517">
        <w:rPr>
          <w:rFonts w:eastAsiaTheme="majorEastAsia"/>
        </w:rPr>
        <w:t xml:space="preserve"> </w:t>
      </w:r>
      <w:r w:rsidRPr="00940517">
        <w:rPr>
          <w:rFonts w:eastAsiaTheme="majorEastAsia"/>
        </w:rPr>
        <w:t xml:space="preserve">related to the 2022 accountability </w:t>
      </w:r>
      <w:r w:rsidR="17E1BBBF" w:rsidRPr="00940517">
        <w:rPr>
          <w:rFonts w:eastAsiaTheme="majorEastAsia"/>
        </w:rPr>
        <w:t xml:space="preserve">workplan </w:t>
      </w:r>
      <w:r w:rsidRPr="00940517">
        <w:rPr>
          <w:rFonts w:eastAsiaTheme="majorEastAsia"/>
        </w:rPr>
        <w:t>as deemed necessary and appropriate</w:t>
      </w:r>
      <w:r w:rsidR="58FE2B4E" w:rsidRPr="00940517">
        <w:rPr>
          <w:rFonts w:eastAsiaTheme="majorEastAsia"/>
        </w:rPr>
        <w:t>,</w:t>
      </w:r>
      <w:r w:rsidR="0D24A1FC" w:rsidRPr="00940517">
        <w:rPr>
          <w:rFonts w:eastAsiaTheme="majorEastAsia"/>
        </w:rPr>
        <w:t xml:space="preserve"> that the SBE delegate authority to CDE, subject to approval of the SBE Executive Director, to pursue, as expeditiously as possible, a </w:t>
      </w:r>
      <w:bookmarkStart w:id="5" w:name="_Hlk95305186"/>
      <w:r w:rsidR="0D24A1FC" w:rsidRPr="00940517">
        <w:rPr>
          <w:rFonts w:eastAsiaTheme="majorEastAsia"/>
        </w:rPr>
        <w:t xml:space="preserve">waiver </w:t>
      </w:r>
      <w:r w:rsidR="7E3F77F9" w:rsidRPr="00940517">
        <w:rPr>
          <w:rFonts w:eastAsiaTheme="majorEastAsia"/>
        </w:rPr>
        <w:t xml:space="preserve">to allow California to maintain DASS modified methods business rules for calculating the Academic Achievement and Graduation Rate </w:t>
      </w:r>
      <w:r w:rsidR="3D3EA441" w:rsidRPr="00940517">
        <w:rPr>
          <w:rFonts w:eastAsiaTheme="majorEastAsia"/>
        </w:rPr>
        <w:t>I</w:t>
      </w:r>
      <w:r w:rsidR="7E3F77F9" w:rsidRPr="00940517">
        <w:rPr>
          <w:rFonts w:eastAsiaTheme="majorEastAsia"/>
        </w:rPr>
        <w:t>ndicators</w:t>
      </w:r>
      <w:bookmarkEnd w:id="5"/>
      <w:r w:rsidR="58FE2B4E" w:rsidRPr="00940517">
        <w:rPr>
          <w:rFonts w:eastAsiaTheme="majorEastAsia"/>
        </w:rPr>
        <w:t xml:space="preserve">, and that the SBE approve California’s submission </w:t>
      </w:r>
      <w:r w:rsidR="15282124" w:rsidRPr="00940517">
        <w:rPr>
          <w:rFonts w:eastAsiaTheme="majorEastAsia"/>
        </w:rPr>
        <w:t xml:space="preserve">of </w:t>
      </w:r>
      <w:r w:rsidR="58FE2B4E" w:rsidRPr="00940517">
        <w:rPr>
          <w:rFonts w:eastAsiaTheme="majorEastAsia"/>
        </w:rPr>
        <w:t>the 2021</w:t>
      </w:r>
      <w:r w:rsidR="3D3FF3D3" w:rsidRPr="00940517">
        <w:rPr>
          <w:rFonts w:eastAsiaTheme="majorEastAsia" w:cs="Arial"/>
        </w:rPr>
        <w:t>–</w:t>
      </w:r>
      <w:r w:rsidR="58FE2B4E" w:rsidRPr="00940517">
        <w:rPr>
          <w:rFonts w:eastAsiaTheme="majorEastAsia"/>
        </w:rPr>
        <w:t xml:space="preserve">22 Addendum for the Consolidated State Plan </w:t>
      </w:r>
      <w:r w:rsidR="452C28BB" w:rsidRPr="00940517">
        <w:rPr>
          <w:rFonts w:eastAsiaTheme="majorEastAsia"/>
        </w:rPr>
        <w:t xml:space="preserve">due to COVID-19 </w:t>
      </w:r>
      <w:r w:rsidR="58FE2B4E" w:rsidRPr="00940517">
        <w:rPr>
          <w:rFonts w:eastAsiaTheme="majorEastAsia"/>
        </w:rPr>
        <w:t>to ED.</w:t>
      </w:r>
    </w:p>
    <w:p w14:paraId="60274BA5" w14:textId="1EF93F1B" w:rsidR="003564E9" w:rsidRPr="00940517" w:rsidRDefault="003564E9" w:rsidP="003564E9">
      <w:pPr>
        <w:pStyle w:val="Heading2"/>
        <w:spacing w:before="0" w:after="240"/>
        <w:rPr>
          <w:rFonts w:cs="Arial"/>
        </w:rPr>
      </w:pPr>
      <w:r w:rsidRPr="00940517">
        <w:rPr>
          <w:rFonts w:cs="Arial"/>
        </w:rPr>
        <w:t>Brief History of Key Issues</w:t>
      </w:r>
    </w:p>
    <w:p w14:paraId="1D07EA03" w14:textId="0C5136A8" w:rsidR="00DC684D" w:rsidRPr="00940517" w:rsidRDefault="00DC684D" w:rsidP="00014846">
      <w:pPr>
        <w:pStyle w:val="Heading3"/>
      </w:pPr>
      <w:r w:rsidRPr="00940517">
        <w:t>Annual Review Process</w:t>
      </w:r>
    </w:p>
    <w:p w14:paraId="5EE4614E" w14:textId="63B11F3A" w:rsidR="00835968" w:rsidRPr="00940517" w:rsidRDefault="007A4590" w:rsidP="0039104C">
      <w:pPr>
        <w:spacing w:after="240"/>
        <w:rPr>
          <w:rFonts w:cs="Arial"/>
        </w:rPr>
      </w:pPr>
      <w:r w:rsidRPr="00940517">
        <w:rPr>
          <w:rFonts w:cs="Arial"/>
        </w:rPr>
        <w:t>The annual review process of the California School Dashboard (Dashboard) includes the review of state and local indicators and performance standards to consider necessary changes or improvements based on newly available data, recent research, and/or stakeholder feedback. Under this process, the CDE includes state and local indicators that need revisions or updates in the accountability work plan. This process allows for a gradual and deliberate approach to improving the state and local indicators and incorporating changes prior to the annual release of the Dashboard in December.</w:t>
      </w:r>
    </w:p>
    <w:p w14:paraId="0C1D8CAE" w14:textId="4220C01F" w:rsidR="00DC684D" w:rsidRPr="00940517" w:rsidRDefault="00DC684D" w:rsidP="00223C48">
      <w:pPr>
        <w:spacing w:after="100" w:afterAutospacing="1"/>
        <w:rPr>
          <w:rFonts w:cs="Arial"/>
        </w:rPr>
      </w:pPr>
      <w:r w:rsidRPr="00940517">
        <w:rPr>
          <w:rFonts w:cs="Arial"/>
        </w:rPr>
        <w:t xml:space="preserve">This item provides updates </w:t>
      </w:r>
      <w:r w:rsidR="00223C48" w:rsidRPr="00940517">
        <w:rPr>
          <w:rFonts w:cs="Arial"/>
        </w:rPr>
        <w:t xml:space="preserve">on the plan to restart reporting of state indicators beginning with the 2022 Dashboard using current school year data (i.e., Status only). Additionally, Attachment 1 provides brief descriptions of the six state indicators, including recent updates (if applicable), information on a rule applied to students with disabilities </w:t>
      </w:r>
      <w:r w:rsidR="00223C48" w:rsidRPr="00940517">
        <w:rPr>
          <w:rFonts w:cs="Arial"/>
        </w:rPr>
        <w:lastRenderedPageBreak/>
        <w:t xml:space="preserve">(SWDs), as well as information on alternative schools, local indicators, eligibility for support, </w:t>
      </w:r>
      <w:r w:rsidR="000A4A86" w:rsidRPr="00940517">
        <w:rPr>
          <w:rFonts w:cs="Arial"/>
        </w:rPr>
        <w:t xml:space="preserve">resources, </w:t>
      </w:r>
      <w:r w:rsidR="00223C48" w:rsidRPr="00940517">
        <w:rPr>
          <w:rFonts w:cs="Arial"/>
        </w:rPr>
        <w:t>and next steps for future Dashboards</w:t>
      </w:r>
      <w:r w:rsidR="007D6AF2" w:rsidRPr="00940517">
        <w:rPr>
          <w:rFonts w:cs="Arial"/>
        </w:rPr>
        <w:t>.</w:t>
      </w:r>
    </w:p>
    <w:p w14:paraId="77DA355E" w14:textId="1EBC720C" w:rsidR="00DC684D" w:rsidRPr="00940517" w:rsidRDefault="00DC684D" w:rsidP="00014846">
      <w:pPr>
        <w:pStyle w:val="Heading3"/>
      </w:pPr>
      <w:bookmarkStart w:id="6" w:name="_Hlk95305998"/>
      <w:r w:rsidRPr="00940517">
        <w:t>202</w:t>
      </w:r>
      <w:r w:rsidR="00622A1E" w:rsidRPr="00940517">
        <w:t>0</w:t>
      </w:r>
      <w:r w:rsidRPr="00940517">
        <w:t>–21 Data Release</w:t>
      </w:r>
    </w:p>
    <w:bookmarkEnd w:id="6"/>
    <w:p w14:paraId="1893309A" w14:textId="31A9F538" w:rsidR="00DC684D" w:rsidRPr="00940517" w:rsidRDefault="48FC8F0B" w:rsidP="0039104C">
      <w:pPr>
        <w:spacing w:after="240"/>
        <w:rPr>
          <w:rFonts w:ascii="Helvetica" w:hAnsi="Helvetica" w:cs="Helvetica"/>
          <w:color w:val="000000"/>
          <w:shd w:val="clear" w:color="auto" w:fill="FFFFFF"/>
        </w:rPr>
      </w:pPr>
      <w:r w:rsidRPr="00940517">
        <w:rPr>
          <w:rFonts w:cs="Arial"/>
        </w:rPr>
        <w:t>On January 7, 2022, the CDE released student outcome data for the 2020-21 school year. This data</w:t>
      </w:r>
      <w:r w:rsidRPr="00940517">
        <w:rPr>
          <w:rFonts w:ascii="Helvetica" w:hAnsi="Helvetica" w:cs="Helvetica"/>
          <w:color w:val="000000"/>
          <w:shd w:val="clear" w:color="auto" w:fill="FFFFFF"/>
        </w:rPr>
        <w:t xml:space="preserve"> provide baseline </w:t>
      </w:r>
      <w:r w:rsidR="2E7FDFF5" w:rsidRPr="00940517">
        <w:rPr>
          <w:rFonts w:ascii="Helvetica" w:hAnsi="Helvetica" w:cs="Helvetica"/>
          <w:color w:val="000000"/>
          <w:shd w:val="clear" w:color="auto" w:fill="FFFFFF"/>
        </w:rPr>
        <w:t xml:space="preserve">information </w:t>
      </w:r>
      <w:r w:rsidRPr="00940517">
        <w:rPr>
          <w:rFonts w:ascii="Helvetica" w:hAnsi="Helvetica" w:cs="Helvetica"/>
          <w:color w:val="000000"/>
          <w:shd w:val="clear" w:color="auto" w:fill="FFFFFF"/>
        </w:rPr>
        <w:t>o</w:t>
      </w:r>
      <w:r w:rsidR="2E7FDFF5" w:rsidRPr="00940517">
        <w:rPr>
          <w:rFonts w:ascii="Helvetica" w:hAnsi="Helvetica" w:cs="Helvetica"/>
          <w:color w:val="000000"/>
          <w:shd w:val="clear" w:color="auto" w:fill="FFFFFF"/>
        </w:rPr>
        <w:t>n</w:t>
      </w:r>
      <w:r w:rsidRPr="00940517">
        <w:rPr>
          <w:rFonts w:ascii="Helvetica" w:hAnsi="Helvetica" w:cs="Helvetica"/>
          <w:color w:val="000000"/>
          <w:shd w:val="clear" w:color="auto" w:fill="FFFFFF"/>
        </w:rPr>
        <w:t xml:space="preserve"> how the COVID-19 pandemic has impacted schools and students.</w:t>
      </w:r>
      <w:r w:rsidRPr="00940517">
        <w:rPr>
          <w:rFonts w:cs="Arial"/>
        </w:rPr>
        <w:t xml:space="preserve"> </w:t>
      </w:r>
      <w:r w:rsidRPr="00940517">
        <w:rPr>
          <w:rFonts w:ascii="Helvetica" w:hAnsi="Helvetica" w:cs="Helvetica"/>
          <w:color w:val="000000"/>
          <w:shd w:val="clear" w:color="auto" w:fill="FFFFFF"/>
        </w:rPr>
        <w:t>The release provided results from the 2020–21 administration of the California Assessment of Student Performance and Progress (CAASPP), which includes Smarter Balanced Summative Assessments for English language arts and mathematics; the California Science Test; the California Alternate Assessments for English language arts, mathematics, and science; and the California Spanish Assessment as well as the English Language Proficiency Assessments for California (ELPAC). It also included information on high-quality interim and diagnostic assessments, chronic absenteeism, discipline data, and graduation rates.</w:t>
      </w:r>
    </w:p>
    <w:p w14:paraId="41C290E4" w14:textId="6B6B04FD" w:rsidR="00A43D0B" w:rsidRPr="00940517" w:rsidRDefault="006A5341" w:rsidP="006A5341">
      <w:pPr>
        <w:spacing w:after="240"/>
        <w:rPr>
          <w:rFonts w:ascii="Helvetica" w:hAnsi="Helvetica" w:cs="Helvetica"/>
          <w:color w:val="000000"/>
          <w:shd w:val="clear" w:color="auto" w:fill="FFFFFF"/>
        </w:rPr>
      </w:pPr>
      <w:r w:rsidRPr="00940517">
        <w:rPr>
          <w:rFonts w:ascii="Helvetica" w:eastAsiaTheme="majorEastAsia" w:hAnsi="Helvetica" w:cs="Helvetica"/>
          <w:shd w:val="clear" w:color="auto" w:fill="FFFFFF"/>
        </w:rPr>
        <w:t xml:space="preserve">While Assembly Bill 130 </w:t>
      </w:r>
      <w:r w:rsidRPr="00940517">
        <w:rPr>
          <w:rFonts w:ascii="Helvetica" w:hAnsi="Helvetica" w:cs="Helvetica"/>
          <w:color w:val="000000"/>
          <w:shd w:val="clear" w:color="auto" w:fill="FFFFFF"/>
        </w:rPr>
        <w:t xml:space="preserve">(Chapter 44, Statutes of 2021) suspended the reporting of state indicators on the 2021 Dashboard, the statute requires that available data that would have been included in the Dashboard are reported if they are determined to be valid and reliable. </w:t>
      </w:r>
      <w:r w:rsidR="00A43D0B" w:rsidRPr="00940517">
        <w:rPr>
          <w:rFonts w:ascii="Helvetica" w:hAnsi="Helvetica" w:cs="Helvetica"/>
          <w:color w:val="000000"/>
          <w:shd w:val="clear" w:color="auto" w:fill="FFFFFF"/>
        </w:rPr>
        <w:t xml:space="preserve">Additionally, on April 6, 2021, the ED approved California’s wavier from </w:t>
      </w:r>
      <w:r w:rsidR="00AE7FA1" w:rsidRPr="00940517">
        <w:rPr>
          <w:rFonts w:ascii="Helvetica" w:hAnsi="Helvetica" w:cs="Helvetica"/>
          <w:color w:val="000000"/>
          <w:shd w:val="clear" w:color="auto" w:fill="FFFFFF"/>
        </w:rPr>
        <w:t xml:space="preserve">the following </w:t>
      </w:r>
      <w:r w:rsidR="00A43D0B" w:rsidRPr="00940517">
        <w:rPr>
          <w:rFonts w:ascii="Helvetica" w:hAnsi="Helvetica" w:cs="Helvetica"/>
          <w:color w:val="000000"/>
          <w:shd w:val="clear" w:color="auto" w:fill="FFFFFF"/>
        </w:rPr>
        <w:t>accountability requirements for the 2020</w:t>
      </w:r>
      <w:r w:rsidR="00F13890" w:rsidRPr="00940517">
        <w:rPr>
          <w:rFonts w:cs="Arial"/>
          <w:color w:val="000000"/>
          <w:shd w:val="clear" w:color="auto" w:fill="FFFFFF"/>
        </w:rPr>
        <w:t>–</w:t>
      </w:r>
      <w:r w:rsidR="00A43D0B" w:rsidRPr="00940517">
        <w:rPr>
          <w:rFonts w:ascii="Helvetica" w:hAnsi="Helvetica" w:cs="Helvetica"/>
          <w:color w:val="000000"/>
          <w:shd w:val="clear" w:color="auto" w:fill="FFFFFF"/>
        </w:rPr>
        <w:t>21 school year:</w:t>
      </w:r>
    </w:p>
    <w:p w14:paraId="09B0C4EC" w14:textId="2A2797D4" w:rsidR="00DD2F79" w:rsidRPr="00940517" w:rsidRDefault="007E1CC5" w:rsidP="00CE15DC">
      <w:pPr>
        <w:pStyle w:val="ListParagraph"/>
        <w:numPr>
          <w:ilvl w:val="0"/>
          <w:numId w:val="23"/>
        </w:numPr>
        <w:spacing w:after="240"/>
        <w:rPr>
          <w:shd w:val="clear" w:color="auto" w:fill="FFFFFF"/>
        </w:rPr>
      </w:pPr>
      <w:r w:rsidRPr="00940517">
        <w:rPr>
          <w:shd w:val="clear" w:color="auto" w:fill="FFFFFF"/>
        </w:rPr>
        <w:t>Remov</w:t>
      </w:r>
      <w:r w:rsidR="00AE7FA1" w:rsidRPr="00940517">
        <w:rPr>
          <w:shd w:val="clear" w:color="auto" w:fill="FFFFFF"/>
        </w:rPr>
        <w:t xml:space="preserve">al of </w:t>
      </w:r>
      <w:r w:rsidRPr="00940517">
        <w:rPr>
          <w:shd w:val="clear" w:color="auto" w:fill="FFFFFF"/>
        </w:rPr>
        <w:t>the 95 percent participation rate penalty for the Academic Indicator</w:t>
      </w:r>
      <w:r w:rsidR="009C6F48" w:rsidRPr="00940517">
        <w:rPr>
          <w:shd w:val="clear" w:color="auto" w:fill="FFFFFF"/>
        </w:rPr>
        <w:t>,</w:t>
      </w:r>
    </w:p>
    <w:p w14:paraId="5D7F3EC4" w14:textId="31399FCC" w:rsidR="00DD2F79" w:rsidRPr="00940517" w:rsidRDefault="007E1CC5" w:rsidP="00CE15DC">
      <w:pPr>
        <w:pStyle w:val="ListParagraph"/>
        <w:numPr>
          <w:ilvl w:val="0"/>
          <w:numId w:val="23"/>
        </w:numPr>
        <w:spacing w:after="240"/>
        <w:rPr>
          <w:shd w:val="clear" w:color="auto" w:fill="FFFFFF"/>
        </w:rPr>
      </w:pPr>
      <w:r w:rsidRPr="00940517">
        <w:rPr>
          <w:shd w:val="clear" w:color="auto" w:fill="FFFFFF"/>
        </w:rPr>
        <w:t>Remov</w:t>
      </w:r>
      <w:r w:rsidR="00AE7FA1" w:rsidRPr="00940517">
        <w:rPr>
          <w:shd w:val="clear" w:color="auto" w:fill="FFFFFF"/>
        </w:rPr>
        <w:t>al of</w:t>
      </w:r>
      <w:r w:rsidRPr="00940517">
        <w:rPr>
          <w:shd w:val="clear" w:color="auto" w:fill="FFFFFF"/>
        </w:rPr>
        <w:t xml:space="preserve"> the requirement to identify schools for support based on 2020–21 data</w:t>
      </w:r>
      <w:r w:rsidR="009C6F48" w:rsidRPr="00940517">
        <w:rPr>
          <w:shd w:val="clear" w:color="auto" w:fill="FFFFFF"/>
        </w:rPr>
        <w:t>,</w:t>
      </w:r>
    </w:p>
    <w:p w14:paraId="7597C568" w14:textId="62A70B77" w:rsidR="00DD2F79" w:rsidRPr="00940517" w:rsidRDefault="007E1CC5" w:rsidP="00CE15DC">
      <w:pPr>
        <w:pStyle w:val="ListParagraph"/>
        <w:numPr>
          <w:ilvl w:val="0"/>
          <w:numId w:val="23"/>
        </w:numPr>
        <w:spacing w:after="240"/>
        <w:rPr>
          <w:shd w:val="clear" w:color="auto" w:fill="FFFFFF"/>
        </w:rPr>
      </w:pPr>
      <w:r w:rsidRPr="00940517">
        <w:rPr>
          <w:shd w:val="clear" w:color="auto" w:fill="FFFFFF"/>
        </w:rPr>
        <w:t>Require</w:t>
      </w:r>
      <w:r w:rsidR="00AE7FA1" w:rsidRPr="00940517">
        <w:rPr>
          <w:shd w:val="clear" w:color="auto" w:fill="FFFFFF"/>
        </w:rPr>
        <w:t>ment for</w:t>
      </w:r>
      <w:r w:rsidRPr="00940517">
        <w:rPr>
          <w:shd w:val="clear" w:color="auto" w:fill="FFFFFF"/>
        </w:rPr>
        <w:t xml:space="preserve"> schools that are currently identified for support to continue to receive support in the 2021–22 school year</w:t>
      </w:r>
      <w:r w:rsidR="00D566EA" w:rsidRPr="00940517">
        <w:rPr>
          <w:shd w:val="clear" w:color="auto" w:fill="FFFFFF"/>
        </w:rPr>
        <w:t>,</w:t>
      </w:r>
    </w:p>
    <w:p w14:paraId="59D8BAFB" w14:textId="3D6FC7B2" w:rsidR="00AE7FA1" w:rsidRPr="00940517" w:rsidRDefault="007E1CC5" w:rsidP="00CE15DC">
      <w:pPr>
        <w:pStyle w:val="ListParagraph"/>
        <w:numPr>
          <w:ilvl w:val="0"/>
          <w:numId w:val="23"/>
        </w:numPr>
        <w:spacing w:after="240"/>
        <w:rPr>
          <w:shd w:val="clear" w:color="auto" w:fill="FFFFFF"/>
        </w:rPr>
      </w:pPr>
      <w:r w:rsidRPr="00940517">
        <w:rPr>
          <w:shd w:val="clear" w:color="auto" w:fill="FFFFFF"/>
        </w:rPr>
        <w:t>Allow states to exit Comprehensive Support and Improvement (CSI) schools based on the graduation rate, if exit criteria are met</w:t>
      </w:r>
      <w:r w:rsidR="00D566EA" w:rsidRPr="00940517">
        <w:rPr>
          <w:shd w:val="clear" w:color="auto" w:fill="FFFFFF"/>
        </w:rPr>
        <w:t>, and</w:t>
      </w:r>
    </w:p>
    <w:p w14:paraId="50AFACFE" w14:textId="044CCDFC" w:rsidR="00A43D0B" w:rsidRPr="00940517" w:rsidRDefault="00A43D0B" w:rsidP="00CE15DC">
      <w:pPr>
        <w:pStyle w:val="ListParagraph"/>
        <w:numPr>
          <w:ilvl w:val="0"/>
          <w:numId w:val="23"/>
        </w:numPr>
        <w:spacing w:after="240"/>
        <w:rPr>
          <w:shd w:val="clear" w:color="auto" w:fill="FFFFFF"/>
        </w:rPr>
      </w:pPr>
      <w:r w:rsidRPr="00940517">
        <w:rPr>
          <w:shd w:val="clear" w:color="auto" w:fill="FFFFFF"/>
        </w:rPr>
        <w:t>Requires states to resume identification of schools based on 2021–22 data</w:t>
      </w:r>
      <w:r w:rsidR="0093122C" w:rsidRPr="00940517">
        <w:rPr>
          <w:shd w:val="clear" w:color="auto" w:fill="FFFFFF"/>
        </w:rPr>
        <w:t>.</w:t>
      </w:r>
    </w:p>
    <w:p w14:paraId="6B9F7472" w14:textId="6F2F079D" w:rsidR="006A5341" w:rsidRPr="00940517" w:rsidRDefault="006A5341" w:rsidP="006A5341">
      <w:pPr>
        <w:spacing w:after="240"/>
        <w:rPr>
          <w:rFonts w:ascii="Helvetica" w:hAnsi="Helvetica" w:cs="Helvetica"/>
          <w:color w:val="000000"/>
        </w:rPr>
      </w:pPr>
      <w:r w:rsidRPr="00940517">
        <w:rPr>
          <w:rFonts w:ascii="Helvetica" w:hAnsi="Helvetica" w:cs="Helvetica"/>
          <w:color w:val="000000"/>
          <w:shd w:val="clear" w:color="auto" w:fill="FFFFFF"/>
        </w:rPr>
        <w:t xml:space="preserve">In response, the CDE provided the following data which can be accessed </w:t>
      </w:r>
      <w:r w:rsidRPr="00940517">
        <w:rPr>
          <w:rFonts w:ascii="Helvetica" w:hAnsi="Helvetica" w:cs="Helvetica"/>
          <w:color w:val="000000"/>
        </w:rPr>
        <w:t xml:space="preserve">within the </w:t>
      </w:r>
      <w:r w:rsidRPr="00940517">
        <w:rPr>
          <w:rFonts w:ascii="Helvetica" w:eastAsiaTheme="majorEastAsia" w:hAnsi="Helvetica" w:cs="Helvetica"/>
          <w:color w:val="000000"/>
        </w:rPr>
        <w:t>CDE Accessing Educational Data web page (</w:t>
      </w:r>
      <w:hyperlink r:id="rId19" w:tooltip="https://www.cde.ca.gov/ds/ad" w:history="1">
        <w:r w:rsidRPr="00940517">
          <w:rPr>
            <w:rStyle w:val="Hyperlink"/>
            <w:rFonts w:ascii="Helvetica" w:eastAsiaTheme="majorEastAsia" w:hAnsi="Helvetica" w:cs="Helvetica"/>
          </w:rPr>
          <w:t>https://www.cde.ca.gov/ds/ad</w:t>
        </w:r>
      </w:hyperlink>
      <w:r w:rsidRPr="00940517">
        <w:rPr>
          <w:rFonts w:ascii="Helvetica" w:eastAsiaTheme="majorEastAsia" w:hAnsi="Helvetica" w:cs="Helvetica"/>
          <w:color w:val="000000"/>
        </w:rPr>
        <w:t>)</w:t>
      </w:r>
      <w:r w:rsidRPr="00940517">
        <w:rPr>
          <w:rFonts w:ascii="Helvetica" w:hAnsi="Helvetica" w:cs="Helvetica"/>
          <w:color w:val="000000"/>
        </w:rPr>
        <w:t>:</w:t>
      </w:r>
    </w:p>
    <w:p w14:paraId="304F4929" w14:textId="52197471" w:rsidR="007F4252" w:rsidRPr="00940517" w:rsidRDefault="006A5341" w:rsidP="31FE67B4">
      <w:pPr>
        <w:numPr>
          <w:ilvl w:val="0"/>
          <w:numId w:val="8"/>
        </w:numPr>
        <w:shd w:val="clear" w:color="auto" w:fill="FFFFFF" w:themeFill="background1"/>
        <w:spacing w:before="100" w:beforeAutospacing="1" w:after="240"/>
        <w:rPr>
          <w:rFonts w:ascii="Helvetica" w:hAnsi="Helvetica" w:cs="Helvetica"/>
          <w:color w:val="000000"/>
        </w:rPr>
      </w:pPr>
      <w:r w:rsidRPr="00940517">
        <w:rPr>
          <w:rFonts w:ascii="Helvetica" w:eastAsiaTheme="majorEastAsia" w:hAnsi="Helvetica" w:cs="Helvetica"/>
          <w:color w:val="000000" w:themeColor="text1"/>
        </w:rPr>
        <w:t>2020–21 Data Summary</w:t>
      </w:r>
      <w:r w:rsidRPr="00940517">
        <w:rPr>
          <w:rFonts w:ascii="Helvetica" w:hAnsi="Helvetica" w:cs="Helvetica"/>
          <w:color w:val="000000" w:themeColor="text1"/>
        </w:rPr>
        <w:t>, this page provides a quick reference of the most recent two-years of key data points with the percentage point difference between school years</w:t>
      </w:r>
      <w:r w:rsidR="0093122C" w:rsidRPr="00940517">
        <w:rPr>
          <w:rFonts w:ascii="Helvetica" w:hAnsi="Helvetica" w:cs="Helvetica"/>
          <w:color w:val="000000" w:themeColor="text1"/>
        </w:rPr>
        <w:t>,</w:t>
      </w:r>
    </w:p>
    <w:p w14:paraId="31599052" w14:textId="6CB67D10" w:rsidR="006A5341" w:rsidRPr="00940517" w:rsidRDefault="006A5341" w:rsidP="00CB4A17">
      <w:pPr>
        <w:numPr>
          <w:ilvl w:val="0"/>
          <w:numId w:val="8"/>
        </w:numPr>
        <w:shd w:val="clear" w:color="auto" w:fill="FFFFFF"/>
        <w:spacing w:before="100" w:beforeAutospacing="1" w:after="240"/>
        <w:rPr>
          <w:rFonts w:ascii="Helvetica" w:hAnsi="Helvetica" w:cs="Helvetica"/>
          <w:color w:val="000000"/>
        </w:rPr>
      </w:pPr>
      <w:r w:rsidRPr="00940517">
        <w:rPr>
          <w:rFonts w:ascii="Helvetica" w:eastAsiaTheme="majorEastAsia" w:hAnsi="Helvetica" w:cs="Helvetica"/>
          <w:color w:val="000000"/>
        </w:rPr>
        <w:t>Graduation and Dropout Data</w:t>
      </w:r>
      <w:r w:rsidRPr="00940517">
        <w:rPr>
          <w:rFonts w:ascii="Helvetica" w:hAnsi="Helvetica" w:cs="Helvetica"/>
          <w:color w:val="000000"/>
        </w:rPr>
        <w:t>, including the Four-Year Adjusted Cohort Graduation Rate and Five-Year Cohort Graduation Rate data reports and downloadable data files</w:t>
      </w:r>
      <w:r w:rsidR="0093122C" w:rsidRPr="00940517">
        <w:rPr>
          <w:rFonts w:ascii="Helvetica" w:hAnsi="Helvetica" w:cs="Helvetica"/>
          <w:color w:val="000000"/>
        </w:rPr>
        <w:t>,</w:t>
      </w:r>
    </w:p>
    <w:p w14:paraId="54026EC2" w14:textId="2FE8C07B" w:rsidR="006A5341" w:rsidRPr="00940517" w:rsidRDefault="006A5341" w:rsidP="007F4252">
      <w:pPr>
        <w:numPr>
          <w:ilvl w:val="0"/>
          <w:numId w:val="8"/>
        </w:numPr>
        <w:shd w:val="clear" w:color="auto" w:fill="FFFFFF"/>
        <w:spacing w:before="100" w:beforeAutospacing="1" w:after="240"/>
        <w:rPr>
          <w:rFonts w:ascii="Helvetica" w:hAnsi="Helvetica" w:cs="Helvetica"/>
          <w:color w:val="000000"/>
        </w:rPr>
      </w:pPr>
      <w:r w:rsidRPr="00940517">
        <w:rPr>
          <w:rFonts w:ascii="Helvetica" w:eastAsiaTheme="majorEastAsia" w:hAnsi="Helvetica" w:cs="Helvetica"/>
          <w:color w:val="000000"/>
        </w:rPr>
        <w:lastRenderedPageBreak/>
        <w:t>Discipline Data</w:t>
      </w:r>
      <w:r w:rsidRPr="00940517">
        <w:rPr>
          <w:rFonts w:ascii="Helvetica" w:hAnsi="Helvetica" w:cs="Helvetica"/>
          <w:color w:val="000000"/>
        </w:rPr>
        <w:t>, including the Suspension and Expulsion data reports and downloadable data files, along with the </w:t>
      </w:r>
      <w:r w:rsidRPr="00940517">
        <w:rPr>
          <w:rFonts w:ascii="Helvetica" w:eastAsiaTheme="majorEastAsia" w:hAnsi="Helvetica" w:cs="Helvetica"/>
          <w:color w:val="000000"/>
        </w:rPr>
        <w:t>Restraint and Seclusion data (downloadable data file only)</w:t>
      </w:r>
      <w:r w:rsidR="0093122C" w:rsidRPr="00940517">
        <w:rPr>
          <w:rFonts w:ascii="Helvetica" w:eastAsiaTheme="majorEastAsia" w:hAnsi="Helvetica" w:cs="Helvetica"/>
          <w:color w:val="000000"/>
        </w:rPr>
        <w:t>,</w:t>
      </w:r>
    </w:p>
    <w:p w14:paraId="7C5FE190" w14:textId="0F2CF74B" w:rsidR="006A5341" w:rsidRPr="00940517" w:rsidRDefault="006A5341" w:rsidP="007F4252">
      <w:pPr>
        <w:numPr>
          <w:ilvl w:val="0"/>
          <w:numId w:val="8"/>
        </w:numPr>
        <w:shd w:val="clear" w:color="auto" w:fill="FFFFFF"/>
        <w:spacing w:before="100" w:beforeAutospacing="1" w:after="240"/>
        <w:rPr>
          <w:rFonts w:ascii="Helvetica" w:hAnsi="Helvetica" w:cs="Helvetica"/>
          <w:color w:val="000000"/>
        </w:rPr>
      </w:pPr>
      <w:r w:rsidRPr="00940517">
        <w:rPr>
          <w:rFonts w:ascii="Helvetica" w:eastAsiaTheme="majorEastAsia" w:hAnsi="Helvetica" w:cs="Helvetica"/>
          <w:color w:val="000000"/>
        </w:rPr>
        <w:t>Absenteeism Data</w:t>
      </w:r>
      <w:r w:rsidRPr="00940517">
        <w:rPr>
          <w:rFonts w:ascii="Helvetica" w:hAnsi="Helvetica" w:cs="Helvetica"/>
          <w:color w:val="000000"/>
        </w:rPr>
        <w:t>, including the Chronic Absenteeism Rate and Absenteeism by Reason reports and downloadable files</w:t>
      </w:r>
      <w:r w:rsidR="0093122C" w:rsidRPr="00940517">
        <w:rPr>
          <w:rFonts w:ascii="Helvetica" w:hAnsi="Helvetica" w:cs="Helvetica"/>
          <w:color w:val="000000"/>
        </w:rPr>
        <w:t>,</w:t>
      </w:r>
    </w:p>
    <w:p w14:paraId="055D5065" w14:textId="6632093B" w:rsidR="006A5341" w:rsidRPr="00940517" w:rsidRDefault="006A5341" w:rsidP="007F4252">
      <w:pPr>
        <w:numPr>
          <w:ilvl w:val="0"/>
          <w:numId w:val="8"/>
        </w:numPr>
        <w:shd w:val="clear" w:color="auto" w:fill="FFFFFF"/>
        <w:spacing w:before="100" w:beforeAutospacing="1" w:after="240"/>
        <w:rPr>
          <w:rFonts w:ascii="Helvetica" w:hAnsi="Helvetica" w:cs="Helvetica"/>
          <w:color w:val="000000"/>
        </w:rPr>
      </w:pPr>
      <w:r w:rsidRPr="00940517">
        <w:rPr>
          <w:rFonts w:ascii="Helvetica" w:eastAsiaTheme="majorEastAsia" w:hAnsi="Helvetica" w:cs="Helvetica"/>
          <w:color w:val="000000"/>
        </w:rPr>
        <w:t>Stability Rate Data</w:t>
      </w:r>
      <w:r w:rsidRPr="00940517">
        <w:rPr>
          <w:rFonts w:ascii="Helvetica" w:hAnsi="Helvetica" w:cs="Helvetica"/>
          <w:color w:val="000000"/>
        </w:rPr>
        <w:t>, including the Stability Rate data reports and a downloadable data file</w:t>
      </w:r>
      <w:r w:rsidR="0093122C" w:rsidRPr="00940517">
        <w:rPr>
          <w:rFonts w:ascii="Helvetica" w:hAnsi="Helvetica" w:cs="Helvetica"/>
          <w:color w:val="000000"/>
        </w:rPr>
        <w:t>, and</w:t>
      </w:r>
    </w:p>
    <w:p w14:paraId="67E1E890" w14:textId="04D1F010" w:rsidR="006A5341" w:rsidRPr="00940517" w:rsidRDefault="006A5341" w:rsidP="007F4252">
      <w:pPr>
        <w:numPr>
          <w:ilvl w:val="0"/>
          <w:numId w:val="8"/>
        </w:numPr>
        <w:shd w:val="clear" w:color="auto" w:fill="FFFFFF"/>
        <w:spacing w:before="100" w:beforeAutospacing="1" w:after="240"/>
        <w:rPr>
          <w:rFonts w:ascii="Helvetica" w:hAnsi="Helvetica" w:cs="Helvetica"/>
          <w:color w:val="000000"/>
        </w:rPr>
      </w:pPr>
      <w:r w:rsidRPr="00940517">
        <w:rPr>
          <w:rFonts w:ascii="Helvetica" w:eastAsiaTheme="majorEastAsia" w:hAnsi="Helvetica" w:cs="Helvetica"/>
          <w:color w:val="000000"/>
        </w:rPr>
        <w:t>Cumulative Enrollment Data (downloadable data file only)</w:t>
      </w:r>
      <w:r w:rsidR="0093122C" w:rsidRPr="00940517">
        <w:rPr>
          <w:rFonts w:ascii="Helvetica" w:eastAsiaTheme="majorEastAsia" w:hAnsi="Helvetica" w:cs="Helvetica"/>
          <w:color w:val="000000"/>
        </w:rPr>
        <w:t xml:space="preserve">. </w:t>
      </w:r>
    </w:p>
    <w:p w14:paraId="07024024" w14:textId="70508A7C" w:rsidR="006A5341" w:rsidRPr="00940517" w:rsidRDefault="00B61DFF" w:rsidP="006A5341">
      <w:pPr>
        <w:pStyle w:val="NormalWeb"/>
        <w:shd w:val="clear" w:color="auto" w:fill="FFFFFF"/>
        <w:spacing w:before="0" w:beforeAutospacing="0" w:after="240" w:afterAutospacing="0"/>
        <w:rPr>
          <w:rFonts w:ascii="Helvetica" w:hAnsi="Helvetica" w:cs="Helvetica"/>
          <w:color w:val="000000"/>
        </w:rPr>
      </w:pPr>
      <w:r w:rsidRPr="00940517">
        <w:rPr>
          <w:rFonts w:ascii="Helvetica" w:hAnsi="Helvetica" w:cs="Helvetica"/>
          <w:color w:val="000000"/>
        </w:rPr>
        <w:t xml:space="preserve">In addition, the CDE </w:t>
      </w:r>
      <w:r w:rsidR="00965BE6" w:rsidRPr="00940517">
        <w:rPr>
          <w:rFonts w:ascii="Helvetica" w:hAnsi="Helvetica" w:cs="Helvetica"/>
          <w:color w:val="000000"/>
        </w:rPr>
        <w:t>released the 2021 Dashboard</w:t>
      </w:r>
      <w:r w:rsidR="006F28E0" w:rsidRPr="00940517">
        <w:rPr>
          <w:rFonts w:ascii="Helvetica" w:hAnsi="Helvetica" w:cs="Helvetica"/>
          <w:color w:val="000000"/>
        </w:rPr>
        <w:t xml:space="preserve"> which contained </w:t>
      </w:r>
      <w:r w:rsidR="00965BE6" w:rsidRPr="00940517">
        <w:rPr>
          <w:rFonts w:ascii="Helvetica" w:hAnsi="Helvetica" w:cs="Helvetica"/>
          <w:color w:val="000000"/>
        </w:rPr>
        <w:t xml:space="preserve">LEA and school contact information and enrollment data. </w:t>
      </w:r>
      <w:r w:rsidR="006F28E0" w:rsidRPr="00940517">
        <w:rPr>
          <w:rFonts w:ascii="Helvetica" w:hAnsi="Helvetica" w:cs="Helvetica"/>
          <w:color w:val="000000"/>
        </w:rPr>
        <w:t xml:space="preserve">It also displayed local indicators that LEAs reported onto the Dashboard. </w:t>
      </w:r>
      <w:r w:rsidR="00900710" w:rsidRPr="00940517">
        <w:rPr>
          <w:rFonts w:ascii="Helvetica" w:hAnsi="Helvetica" w:cs="Helvetica"/>
          <w:color w:val="000000"/>
        </w:rPr>
        <w:t>In lieu of reporting state indicators, t</w:t>
      </w:r>
      <w:r w:rsidR="006F28E0" w:rsidRPr="00940517">
        <w:rPr>
          <w:rFonts w:ascii="Helvetica" w:hAnsi="Helvetica" w:cs="Helvetica"/>
          <w:color w:val="000000"/>
        </w:rPr>
        <w:t xml:space="preserve">he CDE also </w:t>
      </w:r>
      <w:r w:rsidRPr="00940517">
        <w:rPr>
          <w:rFonts w:ascii="Helvetica" w:hAnsi="Helvetica" w:cs="Helvetica"/>
          <w:color w:val="000000"/>
        </w:rPr>
        <w:t xml:space="preserve">provided </w:t>
      </w:r>
      <w:r w:rsidR="007D50B4" w:rsidRPr="00940517">
        <w:rPr>
          <w:rFonts w:ascii="Helvetica" w:hAnsi="Helvetica" w:cs="Helvetica"/>
          <w:color w:val="000000"/>
        </w:rPr>
        <w:t xml:space="preserve">LEAs </w:t>
      </w:r>
      <w:r w:rsidR="00F7498B" w:rsidRPr="00940517">
        <w:rPr>
          <w:rFonts w:ascii="Helvetica" w:hAnsi="Helvetica" w:cs="Helvetica"/>
          <w:color w:val="000000"/>
        </w:rPr>
        <w:t xml:space="preserve">additional </w:t>
      </w:r>
      <w:r w:rsidR="00D800F7" w:rsidRPr="00940517">
        <w:rPr>
          <w:rFonts w:ascii="Helvetica" w:hAnsi="Helvetica" w:cs="Helvetica"/>
          <w:color w:val="000000"/>
        </w:rPr>
        <w:t xml:space="preserve">data </w:t>
      </w:r>
      <w:r w:rsidR="00FC1C9C" w:rsidRPr="00940517">
        <w:rPr>
          <w:rFonts w:ascii="Helvetica" w:hAnsi="Helvetica" w:cs="Helvetica"/>
          <w:color w:val="000000"/>
        </w:rPr>
        <w:t xml:space="preserve">that would have been included in the 2021 Dashboard </w:t>
      </w:r>
      <w:r w:rsidR="007D50B4" w:rsidRPr="00940517">
        <w:rPr>
          <w:rFonts w:eastAsia="Arial" w:cs="Arial"/>
          <w:color w:val="000000" w:themeColor="text1"/>
        </w:rPr>
        <w:t xml:space="preserve">for local planning purposes and for the development of their </w:t>
      </w:r>
      <w:r w:rsidR="007D50B4" w:rsidRPr="00940517">
        <w:rPr>
          <w:rFonts w:ascii="Helvetica" w:hAnsi="Helvetica" w:cs="Helvetica"/>
          <w:color w:val="000000"/>
        </w:rPr>
        <w:t>Local Control and Accountability Plans</w:t>
      </w:r>
      <w:r w:rsidRPr="00940517">
        <w:rPr>
          <w:rFonts w:ascii="Helvetica" w:hAnsi="Helvetica" w:cs="Helvetica"/>
          <w:color w:val="000000"/>
        </w:rPr>
        <w:t>. The</w:t>
      </w:r>
      <w:r w:rsidR="00280B1D" w:rsidRPr="00940517">
        <w:rPr>
          <w:rFonts w:ascii="Helvetica" w:hAnsi="Helvetica" w:cs="Helvetica"/>
          <w:color w:val="000000"/>
        </w:rPr>
        <w:t>se</w:t>
      </w:r>
      <w:r w:rsidR="006A5341" w:rsidRPr="00940517">
        <w:rPr>
          <w:rFonts w:ascii="Helvetica" w:hAnsi="Helvetica" w:cs="Helvetica"/>
          <w:color w:val="000000"/>
        </w:rPr>
        <w:t xml:space="preserve"> data, </w:t>
      </w:r>
      <w:r w:rsidR="00B608AD" w:rsidRPr="00940517">
        <w:rPr>
          <w:rFonts w:ascii="Helvetica" w:hAnsi="Helvetica" w:cs="Helvetica"/>
          <w:color w:val="000000"/>
        </w:rPr>
        <w:t>identified below</w:t>
      </w:r>
      <w:r w:rsidR="006A5341" w:rsidRPr="00940517">
        <w:rPr>
          <w:rFonts w:ascii="Helvetica" w:hAnsi="Helvetica" w:cs="Helvetica"/>
          <w:color w:val="000000"/>
        </w:rPr>
        <w:t xml:space="preserve">, </w:t>
      </w:r>
      <w:r w:rsidR="003A6E04" w:rsidRPr="00940517">
        <w:rPr>
          <w:rFonts w:ascii="Helvetica" w:hAnsi="Helvetica" w:cs="Helvetica"/>
          <w:color w:val="000000"/>
        </w:rPr>
        <w:t>were published</w:t>
      </w:r>
      <w:r w:rsidR="006A5341" w:rsidRPr="00940517">
        <w:rPr>
          <w:rFonts w:ascii="Helvetica" w:hAnsi="Helvetica" w:cs="Helvetica"/>
          <w:color w:val="000000"/>
        </w:rPr>
        <w:t xml:space="preserve"> on the</w:t>
      </w:r>
      <w:r w:rsidR="0016777C" w:rsidRPr="00940517">
        <w:rPr>
          <w:rFonts w:ascii="Helvetica" w:hAnsi="Helvetica" w:cs="Helvetica"/>
          <w:color w:val="000000"/>
        </w:rPr>
        <w:t xml:space="preserve"> </w:t>
      </w:r>
      <w:r w:rsidR="000B6361" w:rsidRPr="00940517">
        <w:rPr>
          <w:rFonts w:ascii="Helvetica" w:hAnsi="Helvetica" w:cs="Helvetica"/>
          <w:color w:val="000000"/>
        </w:rPr>
        <w:t xml:space="preserve">School </w:t>
      </w:r>
      <w:r w:rsidR="006A5341" w:rsidRPr="00940517">
        <w:rPr>
          <w:rFonts w:ascii="Helvetica" w:hAnsi="Helvetica" w:cs="Helvetica"/>
          <w:color w:val="000000"/>
        </w:rPr>
        <w:t>Dashboard Additional Reports and Data web page</w:t>
      </w:r>
      <w:r w:rsidR="00223C48" w:rsidRPr="00940517">
        <w:rPr>
          <w:rFonts w:ascii="Helvetica" w:hAnsi="Helvetica" w:cs="Helvetica"/>
          <w:color w:val="000000"/>
        </w:rPr>
        <w:t xml:space="preserve"> (</w:t>
      </w:r>
      <w:hyperlink r:id="rId20" w:tooltip="https://www6.cde.ca.gov/californiamodel/" w:history="1">
        <w:r w:rsidR="00223C48" w:rsidRPr="00940517">
          <w:rPr>
            <w:rStyle w:val="Hyperlink"/>
            <w:rFonts w:ascii="Helvetica" w:hAnsi="Helvetica" w:cs="Helvetica"/>
          </w:rPr>
          <w:t>https://www6.cde.ca.gov/californiamodel/</w:t>
        </w:r>
      </w:hyperlink>
      <w:r w:rsidR="00223C48" w:rsidRPr="00940517">
        <w:rPr>
          <w:rFonts w:ascii="Helvetica" w:hAnsi="Helvetica" w:cs="Helvetica"/>
          <w:color w:val="000000"/>
        </w:rPr>
        <w:t>)</w:t>
      </w:r>
      <w:r w:rsidR="006A5341" w:rsidRPr="00940517">
        <w:rPr>
          <w:rFonts w:ascii="Helvetica" w:hAnsi="Helvetica" w:cs="Helvetica"/>
          <w:color w:val="000000"/>
        </w:rPr>
        <w:t>:</w:t>
      </w:r>
    </w:p>
    <w:p w14:paraId="7C6358ED" w14:textId="5D488838" w:rsidR="006A5341" w:rsidRPr="00940517" w:rsidRDefault="006A5341" w:rsidP="31FE67B4">
      <w:pPr>
        <w:numPr>
          <w:ilvl w:val="0"/>
          <w:numId w:val="9"/>
        </w:num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Combined Four-and Five-Year Graduation Rate</w:t>
      </w:r>
      <w:r w:rsidR="003A6E04" w:rsidRPr="00940517">
        <w:rPr>
          <w:rFonts w:ascii="Helvetica" w:hAnsi="Helvetica" w:cs="Helvetica"/>
          <w:color w:val="000000" w:themeColor="text1"/>
        </w:rPr>
        <w:t>,</w:t>
      </w:r>
    </w:p>
    <w:p w14:paraId="0789C7E1" w14:textId="40B4E508" w:rsidR="00BA3BF4" w:rsidRPr="00940517" w:rsidRDefault="006A5341" w:rsidP="007F4252">
      <w:pPr>
        <w:numPr>
          <w:ilvl w:val="0"/>
          <w:numId w:val="9"/>
        </w:numPr>
        <w:shd w:val="clear" w:color="auto" w:fill="FFFFFF"/>
        <w:spacing w:after="240"/>
        <w:rPr>
          <w:rFonts w:ascii="Helvetica" w:hAnsi="Helvetica" w:cs="Helvetica"/>
          <w:color w:val="000000"/>
        </w:rPr>
      </w:pPr>
      <w:r w:rsidRPr="00940517">
        <w:rPr>
          <w:rFonts w:ascii="Helvetica" w:hAnsi="Helvetica" w:cs="Helvetica"/>
          <w:color w:val="000000"/>
        </w:rPr>
        <w:t>Dashboard Alternative School Status Graduation Rate (i.e., one-year graduation rate)</w:t>
      </w:r>
      <w:r w:rsidR="003A6E04" w:rsidRPr="00940517">
        <w:rPr>
          <w:rFonts w:ascii="Helvetica" w:hAnsi="Helvetica" w:cs="Helvetica"/>
          <w:color w:val="000000"/>
        </w:rPr>
        <w:t>, and</w:t>
      </w:r>
    </w:p>
    <w:p w14:paraId="5787FBE5" w14:textId="76C33EDE" w:rsidR="006A5341" w:rsidRPr="00940517" w:rsidRDefault="006A5341" w:rsidP="007F4252">
      <w:pPr>
        <w:numPr>
          <w:ilvl w:val="0"/>
          <w:numId w:val="9"/>
        </w:num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College/Career Indicator-Related Data</w:t>
      </w:r>
      <w:r w:rsidR="003A6E04" w:rsidRPr="00940517">
        <w:rPr>
          <w:rFonts w:ascii="Helvetica" w:hAnsi="Helvetica" w:cs="Helvetica"/>
          <w:color w:val="000000" w:themeColor="text1"/>
        </w:rPr>
        <w:t>.</w:t>
      </w:r>
    </w:p>
    <w:p w14:paraId="43242A72" w14:textId="0D81A945" w:rsidR="0072106C" w:rsidRPr="00940517" w:rsidRDefault="0267A867" w:rsidP="0E36A200">
      <w:pPr>
        <w:pStyle w:val="Heading3"/>
      </w:pPr>
      <w:bookmarkStart w:id="7" w:name="_Hlk95306654"/>
      <w:r w:rsidRPr="00940517">
        <w:t>Dashboard Alternative School Status</w:t>
      </w:r>
    </w:p>
    <w:p w14:paraId="213B2BDE" w14:textId="5CDDB6A6" w:rsidR="0072106C" w:rsidRPr="00940517" w:rsidRDefault="4ED44AA5" w:rsidP="0E36A200">
      <w:pPr>
        <w:spacing w:beforeAutospacing="1" w:after="240"/>
        <w:rPr>
          <w:rFonts w:ascii="Helvetica" w:hAnsi="Helvetica" w:cs="Helvetica"/>
          <w:color w:val="000000" w:themeColor="text1"/>
        </w:rPr>
      </w:pPr>
      <w:bookmarkStart w:id="8" w:name="_Hlk57973430"/>
      <w:bookmarkEnd w:id="7"/>
      <w:r w:rsidRPr="00940517">
        <w:rPr>
          <w:rFonts w:ascii="Helvetica" w:hAnsi="Helvetica" w:cs="Helvetica"/>
          <w:color w:val="000000" w:themeColor="text1"/>
        </w:rPr>
        <w:t>At the May 2018 SBE meeting, the SBE approved using a grade 12 graduation rate for all DASS schools instead of the four-year cohort rate. During the September 2019 meeting, the SBE approved modified Academic Indicator Status cut scores for two levels only: “Very Low” and “Low” for DASS schools.</w:t>
      </w:r>
      <w:bookmarkEnd w:id="8"/>
    </w:p>
    <w:p w14:paraId="6449ADDA" w14:textId="0C1CF91D" w:rsidR="0072106C" w:rsidRPr="00940517" w:rsidRDefault="4ED44AA5" w:rsidP="0E36A200">
      <w:pPr>
        <w:spacing w:beforeAutospacing="1" w:after="240"/>
        <w:rPr>
          <w:rFonts w:ascii="Helvetica" w:hAnsi="Helvetica" w:cs="Helvetica"/>
          <w:color w:val="000000" w:themeColor="text1"/>
        </w:rPr>
      </w:pPr>
      <w:r w:rsidRPr="00940517">
        <w:rPr>
          <w:rFonts w:ascii="Helvetica" w:hAnsi="Helvetica" w:cs="Helvetica"/>
          <w:color w:val="000000" w:themeColor="text1"/>
        </w:rPr>
        <w:t>On October 5, 2020, the ED provided an update on the high-risk status of California’s Title I, Part A grant. During a review of the amendments submitted to ED in January</w:t>
      </w:r>
      <w:r w:rsidR="0A0233ED" w:rsidRPr="00940517">
        <w:rPr>
          <w:rFonts w:ascii="Helvetica" w:hAnsi="Helvetica" w:cs="Helvetica"/>
          <w:color w:val="000000" w:themeColor="text1"/>
        </w:rPr>
        <w:t xml:space="preserve"> 2020</w:t>
      </w:r>
      <w:r w:rsidRPr="00940517">
        <w:rPr>
          <w:rFonts w:ascii="Helvetica" w:hAnsi="Helvetica" w:cs="Helvetica"/>
          <w:color w:val="000000" w:themeColor="text1"/>
        </w:rPr>
        <w:t>, the ED reviewed the DASS modified methods and indicated that the ESEA does not permit different accountability systems for DASS schools.</w:t>
      </w:r>
    </w:p>
    <w:p w14:paraId="48435976" w14:textId="35C42A56" w:rsidR="007D69C7" w:rsidRPr="00940517" w:rsidRDefault="394471E4" w:rsidP="0E36A200">
      <w:p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In January 2021</w:t>
      </w:r>
      <w:r w:rsidR="3D3EA441" w:rsidRPr="00940517">
        <w:rPr>
          <w:rFonts w:ascii="Helvetica" w:hAnsi="Helvetica" w:cs="Helvetica"/>
          <w:color w:val="000000" w:themeColor="text1"/>
        </w:rPr>
        <w:t>,</w:t>
      </w:r>
      <w:r w:rsidRPr="00940517">
        <w:rPr>
          <w:rFonts w:ascii="Helvetica" w:hAnsi="Helvetica" w:cs="Helvetica"/>
          <w:color w:val="000000" w:themeColor="text1"/>
        </w:rPr>
        <w:t xml:space="preserve"> the SBE approved amendments to California’s ESSA Consolidated State Plan to bring the DASS modified methods business rules for calculating the Academic Achievement and Graduation Rate </w:t>
      </w:r>
      <w:r w:rsidR="3D3EA441" w:rsidRPr="00940517">
        <w:rPr>
          <w:rFonts w:ascii="Helvetica" w:hAnsi="Helvetica" w:cs="Helvetica"/>
          <w:color w:val="000000" w:themeColor="text1"/>
        </w:rPr>
        <w:t>I</w:t>
      </w:r>
      <w:r w:rsidRPr="00940517">
        <w:rPr>
          <w:rFonts w:ascii="Helvetica" w:hAnsi="Helvetica" w:cs="Helvetica"/>
          <w:color w:val="000000" w:themeColor="text1"/>
        </w:rPr>
        <w:t>ndicators into compliance with ESEA requirements.</w:t>
      </w:r>
    </w:p>
    <w:p w14:paraId="09D02BF8" w14:textId="52D1F55C" w:rsidR="007D69C7" w:rsidRPr="00940517" w:rsidRDefault="0A0233ED" w:rsidP="0E36A200">
      <w:p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On January 12, 2022</w:t>
      </w:r>
      <w:r w:rsidR="11E23159" w:rsidRPr="00940517">
        <w:rPr>
          <w:rFonts w:ascii="Helvetica" w:hAnsi="Helvetica" w:cs="Helvetica"/>
          <w:color w:val="000000" w:themeColor="text1"/>
        </w:rPr>
        <w:t xml:space="preserve">, ED sent a letter </w:t>
      </w:r>
      <w:r w:rsidR="11E23159" w:rsidRPr="00940517">
        <w:t>denying the amendments approved by the SBE in January 2021 regarding the DASS modified methods.</w:t>
      </w:r>
    </w:p>
    <w:p w14:paraId="715132FD" w14:textId="56C693B0" w:rsidR="0098108A" w:rsidRPr="00940517" w:rsidRDefault="2B6C9A9D" w:rsidP="0E36A200">
      <w:pPr>
        <w:pStyle w:val="Heading3"/>
      </w:pPr>
      <w:r w:rsidRPr="00940517">
        <w:rPr>
          <w:rFonts w:cs="Arial"/>
        </w:rPr>
        <w:lastRenderedPageBreak/>
        <w:t>2021</w:t>
      </w:r>
      <w:r w:rsidR="1FDB24CA" w:rsidRPr="00940517">
        <w:rPr>
          <w:rFonts w:cs="Arial"/>
        </w:rPr>
        <w:t>–</w:t>
      </w:r>
      <w:r w:rsidRPr="00940517">
        <w:rPr>
          <w:rFonts w:cs="Arial"/>
        </w:rPr>
        <w:t>22 Addendum Template for the Consolidated State Plan</w:t>
      </w:r>
      <w:r w:rsidR="5987CC35" w:rsidRPr="00940517">
        <w:rPr>
          <w:rFonts w:cs="Arial"/>
        </w:rPr>
        <w:t xml:space="preserve"> Due to COVID-19</w:t>
      </w:r>
    </w:p>
    <w:p w14:paraId="7E142E3E" w14:textId="025570C1" w:rsidR="0098108A" w:rsidRPr="00940517" w:rsidRDefault="2B6C9A9D" w:rsidP="0E36A200">
      <w:pPr>
        <w:shd w:val="clear" w:color="auto" w:fill="FFFFFF" w:themeFill="background1"/>
        <w:spacing w:before="100" w:beforeAutospacing="1" w:after="240"/>
        <w:rPr>
          <w:rFonts w:ascii="Helvetica" w:hAnsi="Helvetica" w:cs="Helvetica"/>
          <w:color w:val="000000"/>
        </w:rPr>
      </w:pPr>
      <w:bookmarkStart w:id="9" w:name="_Hlk37924781"/>
      <w:r w:rsidRPr="00940517">
        <w:rPr>
          <w:rFonts w:ascii="Helvetica" w:hAnsi="Helvetica" w:cs="Helvetica"/>
          <w:color w:val="000000" w:themeColor="text1"/>
        </w:rPr>
        <w:t>On March 20, 2020, pursuant to authority under section 8401(b) of the ESEA, ED invited states to request a waiver, for the 2019–20 school year,</w:t>
      </w:r>
      <w:bookmarkEnd w:id="9"/>
      <w:r w:rsidRPr="00940517">
        <w:rPr>
          <w:rFonts w:ascii="Helvetica" w:hAnsi="Helvetica" w:cs="Helvetica"/>
          <w:color w:val="000000" w:themeColor="text1"/>
        </w:rPr>
        <w:t xml:space="preserve"> of the assessment requirements in section 1111(b)(2) of the ESEA, the accountability and school identification requirements in sections 1111(c)(4) and 1111(d)(2)(C)-(D), and certain reporting requirements related to assessments and accountability in section 1111(h).</w:t>
      </w:r>
    </w:p>
    <w:p w14:paraId="673EF410" w14:textId="77777777" w:rsidR="0098108A" w:rsidRPr="00940517" w:rsidRDefault="2B6C9A9D" w:rsidP="0E36A200">
      <w:p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Through these waivers, states would not need to administer statewide assessments to all students, to make annual accountability determinations, to identify schools for support and improvement, or to provide data on its State and local report cards for assessment and accountability information.</w:t>
      </w:r>
    </w:p>
    <w:p w14:paraId="7525E73F" w14:textId="77777777" w:rsidR="0098108A" w:rsidRPr="00940517" w:rsidRDefault="2B6C9A9D" w:rsidP="0E36A200">
      <w:pPr>
        <w:shd w:val="clear" w:color="auto" w:fill="FFFFFF" w:themeFill="background1"/>
        <w:spacing w:before="100" w:beforeAutospacing="1" w:after="240"/>
        <w:rPr>
          <w:rFonts w:ascii="Helvetica" w:hAnsi="Helvetica" w:cs="Helvetica"/>
          <w:color w:val="000000"/>
        </w:rPr>
      </w:pPr>
      <w:bookmarkStart w:id="10" w:name="_Hlk37924609"/>
      <w:r w:rsidRPr="00940517">
        <w:rPr>
          <w:rFonts w:ascii="Helvetica" w:hAnsi="Helvetica" w:cs="Helvetica"/>
          <w:color w:val="000000" w:themeColor="text1"/>
        </w:rPr>
        <w:t xml:space="preserve">On March 26, 2020, State Superintendent of Public Instruction (SSPI) Tony Thurmond and SBE President Linda Darling-Hammond submitted, on behalf of the CDE and SBE, the Assessment and Accountability Waiver for the 2019–20 school </w:t>
      </w:r>
      <w:bookmarkStart w:id="11" w:name="_Hlk37233014"/>
      <w:r w:rsidRPr="00940517">
        <w:rPr>
          <w:rFonts w:ascii="Helvetica" w:hAnsi="Helvetica" w:cs="Helvetica"/>
          <w:color w:val="000000" w:themeColor="text1"/>
        </w:rPr>
        <w:t>year of the following sections under ESEA Section 8401(b)</w:t>
      </w:r>
      <w:bookmarkEnd w:id="11"/>
      <w:r w:rsidRPr="00940517">
        <w:rPr>
          <w:rFonts w:ascii="Helvetica" w:hAnsi="Helvetica" w:cs="Helvetica"/>
          <w:color w:val="000000" w:themeColor="text1"/>
        </w:rPr>
        <w:t>:</w:t>
      </w:r>
      <w:bookmarkEnd w:id="10"/>
      <w:r w:rsidRPr="00940517">
        <w:rPr>
          <w:rFonts w:ascii="Helvetica" w:hAnsi="Helvetica" w:cs="Helvetica"/>
          <w:color w:val="000000" w:themeColor="text1"/>
        </w:rPr>
        <w:t xml:space="preserve"> </w:t>
      </w:r>
    </w:p>
    <w:p w14:paraId="4A254922" w14:textId="77777777" w:rsidR="0098108A" w:rsidRPr="00940517" w:rsidRDefault="2B6C9A9D" w:rsidP="0E36A200">
      <w:pPr>
        <w:numPr>
          <w:ilvl w:val="0"/>
          <w:numId w:val="17"/>
        </w:numPr>
        <w:shd w:val="clear" w:color="auto" w:fill="FFFFFF" w:themeFill="background1"/>
        <w:spacing w:before="100" w:beforeAutospacing="1" w:after="240"/>
        <w:rPr>
          <w:rFonts w:ascii="Helvetica" w:hAnsi="Helvetica" w:cs="Helvetica"/>
          <w:color w:val="000000"/>
        </w:rPr>
      </w:pPr>
      <w:bookmarkStart w:id="12" w:name="_Hlk37233063"/>
      <w:r w:rsidRPr="00940517">
        <w:rPr>
          <w:rFonts w:ascii="Helvetica" w:hAnsi="Helvetica" w:cs="Helvetica"/>
          <w:color w:val="000000" w:themeColor="text1"/>
        </w:rPr>
        <w:t>Assessment requirements in section 1111(b)(2);</w:t>
      </w:r>
    </w:p>
    <w:p w14:paraId="137370E6" w14:textId="77777777" w:rsidR="0098108A" w:rsidRPr="00940517" w:rsidRDefault="2B6C9A9D" w:rsidP="0E36A200">
      <w:pPr>
        <w:numPr>
          <w:ilvl w:val="0"/>
          <w:numId w:val="17"/>
        </w:num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Accountability and school identification requirements in sections 1111(c)(4) and 1111(d)(2)(C)-(D); and</w:t>
      </w:r>
    </w:p>
    <w:p w14:paraId="4EBEEF56" w14:textId="77777777" w:rsidR="0098108A" w:rsidRPr="00940517" w:rsidRDefault="2B6C9A9D" w:rsidP="0E36A200">
      <w:pPr>
        <w:numPr>
          <w:ilvl w:val="0"/>
          <w:numId w:val="17"/>
        </w:num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Reporting requirements related to assessments and accountability in section 1111(h).</w:t>
      </w:r>
    </w:p>
    <w:bookmarkEnd w:id="12"/>
    <w:p w14:paraId="0DF09089" w14:textId="77777777" w:rsidR="0098108A" w:rsidRPr="00940517" w:rsidRDefault="2B6C9A9D" w:rsidP="0E36A200">
      <w:p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This waiver request was approved by the SBE on May 7, 2020.</w:t>
      </w:r>
    </w:p>
    <w:p w14:paraId="1B44B1D6" w14:textId="77777777" w:rsidR="00550C25" w:rsidRPr="00940517" w:rsidRDefault="58A19EA5" w:rsidP="0E36A200">
      <w:p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On January 13, 2021, the SBE approved California’s submission of the COVID-19 State Plan Addendum for the following accountability requirements for the 2020–21 school year:</w:t>
      </w:r>
    </w:p>
    <w:p w14:paraId="35671A16" w14:textId="53632B54" w:rsidR="00550C25" w:rsidRPr="00940517" w:rsidRDefault="58A19EA5" w:rsidP="0E36A200">
      <w:pPr>
        <w:pStyle w:val="ListParagraph"/>
        <w:numPr>
          <w:ilvl w:val="0"/>
          <w:numId w:val="18"/>
        </w:num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Removal of the 95 percent participation rate penalty for the Academic Indicator,</w:t>
      </w:r>
    </w:p>
    <w:p w14:paraId="4F60A0D2" w14:textId="2A5CD226" w:rsidR="00550C25" w:rsidRPr="00940517" w:rsidRDefault="58A19EA5" w:rsidP="0E36A200">
      <w:pPr>
        <w:pStyle w:val="ListParagraph"/>
        <w:numPr>
          <w:ilvl w:val="0"/>
          <w:numId w:val="18"/>
        </w:num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Removal of the requirement to identify schools for support based on 2020–21 data,</w:t>
      </w:r>
    </w:p>
    <w:p w14:paraId="49068888" w14:textId="3BE422EC" w:rsidR="00550C25" w:rsidRPr="00940517" w:rsidRDefault="58A19EA5" w:rsidP="0E36A200">
      <w:pPr>
        <w:pStyle w:val="ListParagraph"/>
        <w:numPr>
          <w:ilvl w:val="0"/>
          <w:numId w:val="18"/>
        </w:num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Requirement for schools that are currently identified for support to continue to receive support in the 2021–22 school year,</w:t>
      </w:r>
    </w:p>
    <w:p w14:paraId="1AB0A6FF" w14:textId="1535C9EA" w:rsidR="00550C25" w:rsidRPr="00940517" w:rsidRDefault="58A19EA5" w:rsidP="0E36A200">
      <w:pPr>
        <w:pStyle w:val="ListParagraph"/>
        <w:numPr>
          <w:ilvl w:val="0"/>
          <w:numId w:val="18"/>
        </w:num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Allow states to exit Comprehensive Support and Improvement (CSI) schools based on the graduation rate, if exit criteria are met, and</w:t>
      </w:r>
    </w:p>
    <w:p w14:paraId="06033319" w14:textId="1A250FA3" w:rsidR="00550C25" w:rsidRPr="00940517" w:rsidRDefault="58A19EA5" w:rsidP="0E36A200">
      <w:pPr>
        <w:pStyle w:val="ListParagraph"/>
        <w:numPr>
          <w:ilvl w:val="0"/>
          <w:numId w:val="18"/>
        </w:num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Requires states to resume identification of schools based on 2021–22 data.</w:t>
      </w:r>
    </w:p>
    <w:p w14:paraId="43CBEADF" w14:textId="093F3ED1" w:rsidR="00550C25" w:rsidRPr="00940517" w:rsidRDefault="58A19EA5" w:rsidP="0E36A200">
      <w:p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lastRenderedPageBreak/>
        <w:t>California’s COVID-19 State Plan Addendum for the 2020</w:t>
      </w:r>
      <w:r w:rsidR="742473BF" w:rsidRPr="00940517">
        <w:rPr>
          <w:rFonts w:ascii="Helvetica" w:hAnsi="Helvetica" w:cs="Helvetica"/>
          <w:color w:val="000000" w:themeColor="text1"/>
        </w:rPr>
        <w:t>–</w:t>
      </w:r>
      <w:r w:rsidRPr="00940517">
        <w:rPr>
          <w:rFonts w:ascii="Helvetica" w:hAnsi="Helvetica" w:cs="Helvetica"/>
          <w:color w:val="000000" w:themeColor="text1"/>
        </w:rPr>
        <w:t>21 school year was approved by ED on April 6, 2021.</w:t>
      </w:r>
    </w:p>
    <w:p w14:paraId="046B3AB3" w14:textId="7364DBB2" w:rsidR="0098108A" w:rsidRPr="00940517" w:rsidRDefault="364C6027" w:rsidP="0E36A200">
      <w:pPr>
        <w:shd w:val="clear" w:color="auto" w:fill="FFFFFF" w:themeFill="background1"/>
        <w:spacing w:before="100" w:beforeAutospacing="1" w:after="240"/>
        <w:rPr>
          <w:rFonts w:ascii="Helvetica" w:hAnsi="Helvetica" w:cs="Helvetica"/>
          <w:color w:val="000000"/>
        </w:rPr>
      </w:pPr>
      <w:r w:rsidRPr="00940517">
        <w:rPr>
          <w:rFonts w:ascii="Helvetica" w:hAnsi="Helvetica" w:cs="Helvetica"/>
          <w:color w:val="000000" w:themeColor="text1"/>
        </w:rPr>
        <w:t>In December 2021, ED released the 2021</w:t>
      </w:r>
      <w:r w:rsidR="742473BF" w:rsidRPr="00940517">
        <w:rPr>
          <w:rFonts w:ascii="Helvetica" w:hAnsi="Helvetica" w:cs="Helvetica"/>
          <w:color w:val="000000" w:themeColor="text1"/>
        </w:rPr>
        <w:t>–</w:t>
      </w:r>
      <w:r w:rsidRPr="00940517">
        <w:rPr>
          <w:rFonts w:ascii="Helvetica" w:hAnsi="Helvetica" w:cs="Helvetica"/>
          <w:color w:val="000000" w:themeColor="text1"/>
        </w:rPr>
        <w:t>22 Addendum Template for the Consolidated State Plan</w:t>
      </w:r>
      <w:r w:rsidR="742473BF" w:rsidRPr="00940517">
        <w:rPr>
          <w:rFonts w:ascii="Helvetica" w:hAnsi="Helvetica" w:cs="Helvetica"/>
          <w:color w:val="000000" w:themeColor="text1"/>
        </w:rPr>
        <w:t xml:space="preserve"> due to COVID-19</w:t>
      </w:r>
      <w:r w:rsidRPr="00940517">
        <w:rPr>
          <w:rFonts w:ascii="Helvetica" w:hAnsi="Helvetica" w:cs="Helvetica"/>
          <w:color w:val="000000" w:themeColor="text1"/>
        </w:rPr>
        <w:t xml:space="preserve"> to provide states a streamlined process to modify state plans for the 2021</w:t>
      </w:r>
      <w:r w:rsidR="742473BF" w:rsidRPr="00940517">
        <w:rPr>
          <w:rFonts w:ascii="Helvetica" w:hAnsi="Helvetica" w:cs="Helvetica"/>
          <w:color w:val="000000" w:themeColor="text1"/>
        </w:rPr>
        <w:t>–</w:t>
      </w:r>
      <w:r w:rsidRPr="00940517">
        <w:rPr>
          <w:rFonts w:ascii="Helvetica" w:hAnsi="Helvetica" w:cs="Helvetica"/>
          <w:color w:val="000000" w:themeColor="text1"/>
        </w:rPr>
        <w:t>22 school year as they implement accountability and school identification requirements under section 1111 of the ESEA to make accountability determinations and identify schools in Fall 2022.</w:t>
      </w:r>
    </w:p>
    <w:p w14:paraId="4D14C50F" w14:textId="77777777" w:rsidR="00565CCB" w:rsidRPr="00940517" w:rsidRDefault="00565CCB" w:rsidP="00565CCB">
      <w:pPr>
        <w:pStyle w:val="Heading2"/>
        <w:spacing w:before="0" w:after="240"/>
        <w:rPr>
          <w:szCs w:val="36"/>
        </w:rPr>
      </w:pPr>
      <w:r w:rsidRPr="00940517">
        <w:rPr>
          <w:szCs w:val="36"/>
        </w:rPr>
        <w:t>Summary of Previous State Board of Education Discussion and Action</w:t>
      </w:r>
    </w:p>
    <w:p w14:paraId="41F3F75D" w14:textId="3B4FB81F" w:rsidR="00ED1D45" w:rsidRPr="00940517" w:rsidRDefault="00ED1D45" w:rsidP="00ED1D45">
      <w:pPr>
        <w:spacing w:after="240"/>
      </w:pPr>
      <w:r w:rsidRPr="00940517">
        <w:rPr>
          <w:rFonts w:cs="Arial"/>
        </w:rPr>
        <w:t>In November 2014, the SBE adopted the LCAP template. (</w:t>
      </w:r>
      <w:hyperlink r:id="rId21" w:tooltip="https://www.cde.ca.gov/be/ag/ag/yr14/documents/nov14item14.doc">
        <w:r w:rsidRPr="00940517">
          <w:rPr>
            <w:rStyle w:val="Hyperlink"/>
            <w:rFonts w:cs="Arial"/>
          </w:rPr>
          <w:t>https://www.cde.ca.gov/be/ag/ag/yr14/documents/nov14item14.doc</w:t>
        </w:r>
      </w:hyperlink>
      <w:r w:rsidRPr="00940517">
        <w:rPr>
          <w:rFonts w:cs="Arial"/>
        </w:rPr>
        <w:t xml:space="preserve"> )</w:t>
      </w:r>
    </w:p>
    <w:p w14:paraId="47657F74" w14:textId="5758B826" w:rsidR="00ED1D45" w:rsidRPr="00940517" w:rsidRDefault="00ED1D45" w:rsidP="00ED1D45">
      <w:pPr>
        <w:spacing w:after="240"/>
        <w:rPr>
          <w:rFonts w:cs="Arial"/>
        </w:rPr>
      </w:pPr>
      <w:r w:rsidRPr="00940517">
        <w:rPr>
          <w:rFonts w:cs="Arial"/>
        </w:rPr>
        <w:t>In September 2016, the SBE approved the performance standards for all local indicators and the state indicators (except for the Academic Indicator), and the annual process for the SBE to review the rubrics to determine if updates or revisions are necessary. (</w:t>
      </w:r>
      <w:hyperlink r:id="rId22" w:tooltip="http://www.cde.ca.gov/be/ag/ag/yr16/documents/sep16item01.doc">
        <w:r w:rsidRPr="00940517">
          <w:rPr>
            <w:rStyle w:val="Hyperlink"/>
            <w:rFonts w:eastAsiaTheme="majorEastAsia" w:cs="Arial"/>
          </w:rPr>
          <w:t>http://www.cde.ca.gov/be/ag/ag/yr16/documents/sep16item01.doc</w:t>
        </w:r>
      </w:hyperlink>
      <w:r w:rsidRPr="00940517">
        <w:rPr>
          <w:rFonts w:cs="Arial"/>
        </w:rPr>
        <w:t>)</w:t>
      </w:r>
    </w:p>
    <w:p w14:paraId="1BD768B9" w14:textId="19442E60" w:rsidR="00ED1D45" w:rsidRPr="00940517" w:rsidRDefault="00ED1D45" w:rsidP="00ED1D45">
      <w:pPr>
        <w:spacing w:after="240"/>
      </w:pPr>
      <w:r w:rsidRPr="00940517">
        <w:t>In November 2016 meeting, the SBE approved tools for LEAs to determine progress on the local performance indicators for specific priorities within the LCFF statute. The self-reflection tools are for: Priority 1—Basic Services and Conditions at schools; Priority 6—School Climate; Priority 9—Coordination of Services for Expelled Students; and Priority 10—Coordination of Services for Foster Youth. (</w:t>
      </w:r>
      <w:hyperlink r:id="rId23" w:tooltip="http://www.cde.ca.gov/be/ag/ag/yr16/documents/nov16item03.doc">
        <w:r w:rsidRPr="00940517">
          <w:rPr>
            <w:rStyle w:val="Hyperlink"/>
            <w:rFonts w:eastAsiaTheme="majorEastAsia"/>
          </w:rPr>
          <w:t>http://www.cde.ca.gov/be/ag/ag/yr16/documents/nov16item03.doc</w:t>
        </w:r>
      </w:hyperlink>
      <w:r w:rsidRPr="00940517">
        <w:t>)</w:t>
      </w:r>
    </w:p>
    <w:p w14:paraId="771434BB" w14:textId="7E12824D" w:rsidR="00ED1D45" w:rsidRPr="00940517" w:rsidRDefault="00ED1D45" w:rsidP="00ED1D45">
      <w:pPr>
        <w:spacing w:after="240"/>
        <w:rPr>
          <w:rFonts w:cs="Arial"/>
        </w:rPr>
      </w:pPr>
      <w:r w:rsidRPr="00940517">
        <w:rPr>
          <w:rFonts w:cs="Arial"/>
        </w:rPr>
        <w:t>In January 2017, the SBE received the following Information Memorandum:</w:t>
      </w:r>
    </w:p>
    <w:p w14:paraId="5D37E8DC" w14:textId="14BB1E10" w:rsidR="00ED1D45" w:rsidRPr="00940517" w:rsidRDefault="00ED1D45" w:rsidP="00ED1D45">
      <w:pPr>
        <w:numPr>
          <w:ilvl w:val="0"/>
          <w:numId w:val="11"/>
        </w:numPr>
        <w:spacing w:after="240"/>
        <w:rPr>
          <w:rFonts w:cs="Arial"/>
        </w:rPr>
      </w:pPr>
      <w:r w:rsidRPr="00940517">
        <w:rPr>
          <w:rFonts w:cs="Arial"/>
        </w:rPr>
        <w:t>Update on School Conditions and Climate Workgroup (</w:t>
      </w:r>
      <w:hyperlink r:id="rId24" w:tooltip="http://www.cde.ca.gov/be/pn/im/documents/memo-exe-jan17item01.doc">
        <w:r w:rsidRPr="00940517">
          <w:rPr>
            <w:rStyle w:val="Hyperlink"/>
            <w:rFonts w:eastAsiaTheme="majorEastAsia" w:cs="Arial"/>
          </w:rPr>
          <w:t>http://www.cde.ca.gov/be/pn/im/documents/memo-exe-jan17item01.doc</w:t>
        </w:r>
      </w:hyperlink>
      <w:r w:rsidRPr="00940517">
        <w:rPr>
          <w:rFonts w:cs="Arial"/>
        </w:rPr>
        <w:t>)</w:t>
      </w:r>
    </w:p>
    <w:p w14:paraId="44ED34BC" w14:textId="0E00C898" w:rsidR="00ED1D45" w:rsidRPr="00940517" w:rsidRDefault="00ED1D45" w:rsidP="00ED1D45">
      <w:pPr>
        <w:spacing w:after="240"/>
        <w:rPr>
          <w:rFonts w:cs="Arial"/>
        </w:rPr>
      </w:pPr>
      <w:r w:rsidRPr="00940517">
        <w:rPr>
          <w:rFonts w:cs="Arial"/>
        </w:rPr>
        <w:t>In February 2017, the SBE received the following Information Memoranda:</w:t>
      </w:r>
    </w:p>
    <w:p w14:paraId="5B0CF0F4" w14:textId="00B0E7B6" w:rsidR="00ED1D45" w:rsidRPr="00940517" w:rsidRDefault="00ED1D45" w:rsidP="00ED1D45">
      <w:pPr>
        <w:numPr>
          <w:ilvl w:val="0"/>
          <w:numId w:val="11"/>
        </w:numPr>
        <w:spacing w:after="240"/>
        <w:rPr>
          <w:rFonts w:cs="Arial"/>
        </w:rPr>
      </w:pPr>
      <w:r w:rsidRPr="00940517">
        <w:rPr>
          <w:rFonts w:cs="Arial"/>
        </w:rPr>
        <w:t>Updated Summary of SBE Actions Related to Adopting the LCFF Evaluation Rubrics (</w:t>
      </w:r>
      <w:hyperlink r:id="rId25" w:tooltip="https://www.cde.ca.gov/be/pn/im/documents/memo-pptb-amard-feb18item02.docx">
        <w:r w:rsidRPr="00940517">
          <w:rPr>
            <w:rStyle w:val="Hyperlink"/>
            <w:rFonts w:eastAsiaTheme="majorEastAsia" w:cs="Arial"/>
          </w:rPr>
          <w:t>http://www.cde.ca.gov/be/pn/im/documents/memo-sbe-feb17item01v2.doc</w:t>
        </w:r>
      </w:hyperlink>
      <w:r w:rsidRPr="00940517">
        <w:rPr>
          <w:rFonts w:cs="Arial"/>
        </w:rPr>
        <w:t>)</w:t>
      </w:r>
    </w:p>
    <w:p w14:paraId="1A84A69F" w14:textId="24C48B45" w:rsidR="00ED1D45" w:rsidRPr="00940517" w:rsidRDefault="00ED1D45" w:rsidP="00ED1D45">
      <w:pPr>
        <w:numPr>
          <w:ilvl w:val="0"/>
          <w:numId w:val="11"/>
        </w:numPr>
        <w:spacing w:after="240"/>
        <w:rPr>
          <w:rFonts w:cs="Arial"/>
        </w:rPr>
      </w:pPr>
      <w:r w:rsidRPr="00940517">
        <w:rPr>
          <w:rFonts w:cs="Arial"/>
        </w:rPr>
        <w:t>Update on the LCFF Evaluation Rubrics Components: Statements of Model Practices (</w:t>
      </w:r>
      <w:hyperlink r:id="rId26" w:tooltip="http://www.cde.ca.gov/be/pn/im/documents/memo-exe-jan17item02.doc">
        <w:r w:rsidRPr="00940517">
          <w:rPr>
            <w:rStyle w:val="Hyperlink"/>
            <w:rFonts w:eastAsiaTheme="majorEastAsia" w:cs="Arial"/>
          </w:rPr>
          <w:t>http://www.cde.ca.gov/be/pn/im/documents/memo-exe-jan17item02.doc</w:t>
        </w:r>
      </w:hyperlink>
      <w:r w:rsidRPr="00940517">
        <w:rPr>
          <w:rFonts w:cs="Arial"/>
        </w:rPr>
        <w:t>)</w:t>
      </w:r>
    </w:p>
    <w:p w14:paraId="6DF8DD67" w14:textId="0E08EB9D" w:rsidR="00ED1D45" w:rsidRPr="00940517" w:rsidRDefault="00ED1D45" w:rsidP="00ED1D45">
      <w:pPr>
        <w:spacing w:after="240"/>
        <w:rPr>
          <w:rFonts w:cs="Arial"/>
        </w:rPr>
      </w:pPr>
      <w:r w:rsidRPr="00940517">
        <w:rPr>
          <w:rFonts w:cs="Arial"/>
        </w:rPr>
        <w:t xml:space="preserve">In March 2017, the SBE heard an update on the development of the new accountability system; an overview of alternative schools in preparation for the development of applicable indicators; a work plan for state indicator development; and an update on the </w:t>
      </w:r>
      <w:r w:rsidRPr="00940517">
        <w:rPr>
          <w:rFonts w:cs="Arial"/>
        </w:rPr>
        <w:lastRenderedPageBreak/>
        <w:t>local indicators—specifically, the work by the School Conditions and Climate Work Group. (</w:t>
      </w:r>
      <w:hyperlink r:id="rId27" w:tooltip="http://www.cde.ca.gov/be/pn/im/documents/memo-exec-ocd-jun17item01.doc">
        <w:r w:rsidRPr="00940517">
          <w:rPr>
            <w:rStyle w:val="Hyperlink"/>
            <w:rFonts w:eastAsiaTheme="majorEastAsia" w:cs="Arial"/>
          </w:rPr>
          <w:t>http://www.cde.ca.gov/be/ag/ag/yr17/documents/mar17item02.doc</w:t>
        </w:r>
      </w:hyperlink>
      <w:r w:rsidRPr="00940517">
        <w:rPr>
          <w:rFonts w:cs="Arial"/>
        </w:rPr>
        <w:t>)</w:t>
      </w:r>
    </w:p>
    <w:p w14:paraId="7F52A8BB" w14:textId="499C58A0" w:rsidR="00ED1D45" w:rsidRPr="00940517" w:rsidRDefault="00ED1D45" w:rsidP="00ED1D45">
      <w:pPr>
        <w:spacing w:after="240"/>
        <w:rPr>
          <w:rFonts w:cs="Arial"/>
        </w:rPr>
      </w:pPr>
      <w:r w:rsidRPr="00940517">
        <w:rPr>
          <w:rFonts w:cs="Arial"/>
        </w:rPr>
        <w:t>In May 2017, the SBE heard an update on the Dashboard, and received an overview of the recommendations of the English Learner Progress Indicator (ELPI) Workgroup. The SBE took action to approve the development of an application process to require alternative schools of choice and charter schools to re-certify—every three years—that at least 70 percent of their enrollment is comprised of high-risk students (as defined in the SBE-approved eligibility criteria) in order to continue participating as an alternative school in the accountability system. (</w:t>
      </w:r>
      <w:hyperlink r:id="rId28" w:tooltip="https://www.cde.ca.gov/be/ag/ag/yr17/documents/may17item01.doc">
        <w:r w:rsidRPr="00940517">
          <w:rPr>
            <w:rStyle w:val="Hyperlink"/>
            <w:rFonts w:cs="Arial"/>
          </w:rPr>
          <w:t>https://www.cde.ca.gov/be/ag/ag/yr17/documents/may17item01.doc</w:t>
        </w:r>
      </w:hyperlink>
      <w:r w:rsidRPr="00940517">
        <w:rPr>
          <w:rFonts w:cs="Arial"/>
        </w:rPr>
        <w:t>)</w:t>
      </w:r>
    </w:p>
    <w:p w14:paraId="676913D6" w14:textId="559107A9" w:rsidR="00ED1D45" w:rsidRPr="00940517" w:rsidRDefault="00ED1D45" w:rsidP="00ED1D45">
      <w:pPr>
        <w:spacing w:after="240"/>
        <w:rPr>
          <w:rFonts w:cs="Arial"/>
        </w:rPr>
      </w:pPr>
      <w:proofErr w:type="gramStart"/>
      <w:r w:rsidRPr="00940517">
        <w:rPr>
          <w:rFonts w:cs="Arial"/>
          <w:color w:val="000000" w:themeColor="text1"/>
        </w:rPr>
        <w:t>Also</w:t>
      </w:r>
      <w:proofErr w:type="gramEnd"/>
      <w:r w:rsidRPr="00940517">
        <w:rPr>
          <w:rFonts w:cs="Arial"/>
          <w:color w:val="000000" w:themeColor="text1"/>
        </w:rPr>
        <w:t xml:space="preserve"> </w:t>
      </w:r>
      <w:r w:rsidRPr="00940517">
        <w:rPr>
          <w:rFonts w:cs="Arial"/>
        </w:rPr>
        <w:t xml:space="preserve">in November 2017, the SBE received a summary report of the work of the School Conditions and Climate Work Group (CCWG). The report included a synopsis of the framework recommendations including </w:t>
      </w:r>
      <w:r w:rsidRPr="00940517">
        <w:rPr>
          <w:rFonts w:cs="Arial"/>
          <w:color w:val="000000" w:themeColor="text1"/>
        </w:rPr>
        <w:t xml:space="preserve">state- and LEA-level recommendations. The CCWG’s recommendations </w:t>
      </w:r>
      <w:r w:rsidRPr="00940517">
        <w:rPr>
          <w:rFonts w:cs="Arial"/>
        </w:rPr>
        <w:t xml:space="preserve">comprise both those that can be acted on with existing resources and authority and those for which additional resources and </w:t>
      </w:r>
      <w:r w:rsidRPr="00940517">
        <w:rPr>
          <w:rFonts w:cs="Arial"/>
          <w:noProof/>
        </w:rPr>
        <w:t>authority</w:t>
      </w:r>
      <w:r w:rsidRPr="00940517">
        <w:rPr>
          <w:rFonts w:cs="Arial"/>
        </w:rPr>
        <w:t xml:space="preserve"> will be necessary to implement. (</w:t>
      </w:r>
      <w:hyperlink r:id="rId29" w:tooltip="https://www.cde.ca.gov/be/ag/ag/yr17/documents/nov17item03rev.doc">
        <w:r w:rsidRPr="00940517">
          <w:rPr>
            <w:rStyle w:val="Hyperlink"/>
            <w:rFonts w:cs="Arial"/>
          </w:rPr>
          <w:t>https://www.cde.ca.gov/be/ag/ag/yr17/documents/nov17item03rev.doc</w:t>
        </w:r>
      </w:hyperlink>
      <w:r w:rsidRPr="00940517">
        <w:rPr>
          <w:rFonts w:cs="Arial"/>
        </w:rPr>
        <w:t>)</w:t>
      </w:r>
    </w:p>
    <w:p w14:paraId="452AED7B" w14:textId="694F5E21" w:rsidR="00ED1D45" w:rsidRPr="00940517" w:rsidRDefault="00ED1D45" w:rsidP="00ED1D45">
      <w:pPr>
        <w:spacing w:after="240"/>
        <w:rPr>
          <w:rFonts w:cs="Arial"/>
        </w:rPr>
      </w:pPr>
      <w:r w:rsidRPr="00940517">
        <w:rPr>
          <w:rFonts w:cs="Arial"/>
        </w:rPr>
        <w:t>In February 2018, the SBE received the following Information Memoranda:</w:t>
      </w:r>
    </w:p>
    <w:p w14:paraId="1AE56160" w14:textId="1162263C" w:rsidR="00ED1D45" w:rsidRPr="00940517" w:rsidRDefault="00ED1D45" w:rsidP="3038811F">
      <w:pPr>
        <w:pStyle w:val="ListParagraph"/>
        <w:numPr>
          <w:ilvl w:val="0"/>
          <w:numId w:val="12"/>
        </w:numPr>
        <w:spacing w:after="240"/>
        <w:rPr>
          <w:rFonts w:cs="Arial"/>
        </w:rPr>
      </w:pPr>
      <w:r w:rsidRPr="00940517">
        <w:rPr>
          <w:rFonts w:cs="Arial"/>
        </w:rPr>
        <w:t>Update on the Development of a Revised Self-Reflection Tool for the Local Performance Indicator for Local Control Funding Formula Priority 6, School Climate (</w:t>
      </w:r>
      <w:hyperlink r:id="rId30" w:tooltip="https://www.cde.ca.gov/be/pn/im/documents/memo-exec-ocd-feb18item01.docx">
        <w:r w:rsidRPr="00940517">
          <w:rPr>
            <w:rStyle w:val="Hyperlink"/>
            <w:rFonts w:cs="Arial"/>
          </w:rPr>
          <w:t>https://www.cde.ca.gov/be/pn/im/documents/memo-exec-ocd-feb18item01.docx</w:t>
        </w:r>
      </w:hyperlink>
      <w:r w:rsidRPr="00940517">
        <w:rPr>
          <w:rFonts w:cs="Arial"/>
        </w:rPr>
        <w:t>)</w:t>
      </w:r>
    </w:p>
    <w:p w14:paraId="6CD5639C" w14:textId="53ED171B" w:rsidR="00ED1D45" w:rsidRPr="00940517" w:rsidRDefault="00ED1D45" w:rsidP="00ED1D45">
      <w:pPr>
        <w:spacing w:after="240"/>
        <w:rPr>
          <w:rFonts w:cs="Arial"/>
        </w:rPr>
      </w:pPr>
      <w:r w:rsidRPr="00940517">
        <w:rPr>
          <w:rFonts w:cs="Arial"/>
        </w:rPr>
        <w:t>In January 2018, the SBE received an update on the outreach activities related to the Fall 2017 Dashboard release and two presentations from LEAs on their work with the Dashboard. (</w:t>
      </w:r>
      <w:hyperlink r:id="rId31" w:tooltip="https://www.cde.ca.gov/be/ag/ag/yr18/documents/jan18item01.docx">
        <w:r w:rsidRPr="00940517">
          <w:rPr>
            <w:rStyle w:val="Hyperlink"/>
            <w:rFonts w:cs="Arial"/>
          </w:rPr>
          <w:t>https://www.cde.ca.gov/be/ag/ag/yr18/documents/jan18item01.docx</w:t>
        </w:r>
      </w:hyperlink>
      <w:r w:rsidRPr="00940517">
        <w:rPr>
          <w:rFonts w:cs="Arial"/>
        </w:rPr>
        <w:t>)</w:t>
      </w:r>
    </w:p>
    <w:p w14:paraId="515B394D" w14:textId="694F5E21" w:rsidR="00ED1D45" w:rsidRPr="00940517" w:rsidRDefault="00ED1D45" w:rsidP="00ED1D45">
      <w:pPr>
        <w:spacing w:after="240"/>
        <w:rPr>
          <w:rFonts w:cs="Arial"/>
        </w:rPr>
      </w:pPr>
      <w:r w:rsidRPr="00940517">
        <w:rPr>
          <w:rFonts w:cs="Arial"/>
        </w:rPr>
        <w:t>In February 2018, the SBE received the following Information Memoranda:</w:t>
      </w:r>
    </w:p>
    <w:p w14:paraId="33B232E3" w14:textId="4C7B335F" w:rsidR="00ED1D45" w:rsidRPr="00940517" w:rsidRDefault="00ED1D45" w:rsidP="3038811F">
      <w:pPr>
        <w:pStyle w:val="ListParagraph"/>
        <w:numPr>
          <w:ilvl w:val="0"/>
          <w:numId w:val="1"/>
        </w:numPr>
        <w:spacing w:after="240"/>
        <w:rPr>
          <w:rFonts w:cs="Arial"/>
        </w:rPr>
      </w:pPr>
      <w:r w:rsidRPr="00940517">
        <w:rPr>
          <w:rFonts w:cs="Arial"/>
        </w:rPr>
        <w:t>Developing a New State Accountability System: Update on the Implementation of the College/Career Indicator; Including the Expansion of Career Measures and Performance Comparisons for Academic Measures (</w:t>
      </w:r>
      <w:hyperlink r:id="rId32" w:tooltip="https://www.cde.ca.gov/be/pn/im/documents/memo-pptb-amard-feb18item02.docx">
        <w:r w:rsidRPr="00940517">
          <w:rPr>
            <w:rStyle w:val="Hyperlink"/>
            <w:rFonts w:cs="Arial"/>
          </w:rPr>
          <w:t>https://www.cde.ca.gov/be/pn/im/documents/memo-pptb-amard-feb18item02.docx</w:t>
        </w:r>
      </w:hyperlink>
      <w:r w:rsidRPr="00940517">
        <w:rPr>
          <w:rFonts w:cs="Arial"/>
        </w:rPr>
        <w:t>)</w:t>
      </w:r>
    </w:p>
    <w:p w14:paraId="5657083A" w14:textId="029A4B5F" w:rsidR="00ED1D45" w:rsidRPr="00940517" w:rsidRDefault="00ED1D45" w:rsidP="00ED1D45">
      <w:pPr>
        <w:pStyle w:val="MessageHeader"/>
        <w:numPr>
          <w:ilvl w:val="0"/>
          <w:numId w:val="1"/>
        </w:numPr>
        <w:spacing w:after="240"/>
        <w:rPr>
          <w:b/>
        </w:rPr>
      </w:pPr>
      <w:r w:rsidRPr="00940517">
        <w:rPr>
          <w:rFonts w:cs="Arial"/>
        </w:rPr>
        <w:t>Developing a New State Accountability System: Update on the Development of a Student-Level Growth Model (</w:t>
      </w:r>
      <w:hyperlink r:id="rId33" w:tooltip="https://www.cde.ca.gov/be/pn/im/documents/memo-pptb-amard-feb18item01.docx">
        <w:r w:rsidRPr="00940517">
          <w:rPr>
            <w:rStyle w:val="Hyperlink"/>
            <w:rFonts w:cs="Arial"/>
          </w:rPr>
          <w:t>https://www.cde.ca.gov/be/pn/im/documents/memo-pptb-amard-feb18item01.docx</w:t>
        </w:r>
      </w:hyperlink>
      <w:r w:rsidRPr="00940517">
        <w:rPr>
          <w:rFonts w:cs="Arial"/>
        </w:rPr>
        <w:t>)</w:t>
      </w:r>
    </w:p>
    <w:p w14:paraId="63E38A23" w14:textId="60DA4787" w:rsidR="00ED1D45" w:rsidRPr="00940517" w:rsidRDefault="00ED1D45" w:rsidP="00ED1D45">
      <w:pPr>
        <w:spacing w:after="240"/>
        <w:rPr>
          <w:rFonts w:cs="Arial"/>
        </w:rPr>
      </w:pPr>
      <w:r w:rsidRPr="00940517">
        <w:rPr>
          <w:rFonts w:cs="Arial"/>
        </w:rPr>
        <w:t xml:space="preserve">In March 2018, the SBE heard an update on the continuing development work of the Dashboard, including revisions under consideration for the 2018 Dashboard, and an update on the local indicators—specifically, the proposed revision to the self-reflection </w:t>
      </w:r>
      <w:r w:rsidRPr="00940517">
        <w:rPr>
          <w:rFonts w:cs="Arial"/>
        </w:rPr>
        <w:lastRenderedPageBreak/>
        <w:t>tool for Priority 6: School Climate; in addition, the SBE approved the tool for LEAs to determine progress on the local performance indicators for LCFF Priority 7: Access to a Broad Course of Study. (</w:t>
      </w:r>
      <w:hyperlink r:id="rId34" w:tooltip="https://www.cde.ca.gov/be/ag/ag/yr18/documents/mar18item01.docx">
        <w:r w:rsidRPr="00940517">
          <w:rPr>
            <w:rStyle w:val="Hyperlink"/>
            <w:rFonts w:cs="Arial"/>
          </w:rPr>
          <w:t>https://www.cde.ca.gov/be/ag/ag/yr18/documents/mar18item01.docx</w:t>
        </w:r>
      </w:hyperlink>
      <w:r w:rsidRPr="00940517">
        <w:rPr>
          <w:rFonts w:cs="Arial"/>
        </w:rPr>
        <w:t>)</w:t>
      </w:r>
    </w:p>
    <w:p w14:paraId="2B373E3A" w14:textId="60BD3445" w:rsidR="00ED1D45" w:rsidRPr="00940517" w:rsidRDefault="00ED1D45" w:rsidP="00ED1D45">
      <w:pPr>
        <w:spacing w:after="240"/>
        <w:rPr>
          <w:rFonts w:cs="Arial"/>
        </w:rPr>
      </w:pPr>
      <w:r w:rsidRPr="00940517">
        <w:rPr>
          <w:rFonts w:cs="Arial"/>
        </w:rPr>
        <w:t>In April 2018, the SBE approved revisions to California’s Every School Succeeds Act (ESSA) Plan for resubmission to the ED (</w:t>
      </w:r>
      <w:hyperlink r:id="rId35" w:tooltip="https://www.cde.ca.gov/be/ag/ag/yr18/documents/apr18item01.docx">
        <w:r w:rsidRPr="00940517">
          <w:rPr>
            <w:rStyle w:val="Hyperlink"/>
            <w:rFonts w:cs="Arial"/>
          </w:rPr>
          <w:t>https://www.cde.ca.gov/be/ag/ag/yr18/documents/apr18item01.docx</w:t>
        </w:r>
      </w:hyperlink>
      <w:r w:rsidRPr="00940517">
        <w:rPr>
          <w:rFonts w:cs="Arial"/>
        </w:rPr>
        <w:t>)</w:t>
      </w:r>
    </w:p>
    <w:p w14:paraId="015B04ED" w14:textId="694F5E21" w:rsidR="00ED1D45" w:rsidRPr="00940517" w:rsidRDefault="00ED1D45" w:rsidP="00ED1D45">
      <w:pPr>
        <w:spacing w:after="240"/>
        <w:rPr>
          <w:rFonts w:cs="Arial"/>
        </w:rPr>
      </w:pPr>
      <w:proofErr w:type="gramStart"/>
      <w:r w:rsidRPr="00940517">
        <w:rPr>
          <w:rFonts w:cs="Arial"/>
        </w:rPr>
        <w:t>Also</w:t>
      </w:r>
      <w:proofErr w:type="gramEnd"/>
      <w:r w:rsidRPr="00940517">
        <w:rPr>
          <w:rFonts w:cs="Arial"/>
        </w:rPr>
        <w:t xml:space="preserve"> in April 2018, the SBE received the following Information Memoranda:</w:t>
      </w:r>
    </w:p>
    <w:p w14:paraId="5EAAC1FA" w14:textId="67D78371" w:rsidR="00F932FF" w:rsidRPr="00940517" w:rsidRDefault="00ED1D45" w:rsidP="00F62925">
      <w:pPr>
        <w:pStyle w:val="ListParagraph"/>
        <w:numPr>
          <w:ilvl w:val="0"/>
          <w:numId w:val="13"/>
        </w:numPr>
        <w:spacing w:after="240"/>
        <w:rPr>
          <w:rFonts w:cs="Arial"/>
        </w:rPr>
      </w:pPr>
      <w:r w:rsidRPr="00940517">
        <w:t xml:space="preserve">Request to the U.S. Department of Education to Waive the Every Student Succeeds Act Statute for the English Learner Proficiency Indicator. </w:t>
      </w:r>
      <w:r w:rsidRPr="00940517">
        <w:rPr>
          <w:rFonts w:cs="Arial"/>
        </w:rPr>
        <w:t xml:space="preserve"> (</w:t>
      </w:r>
      <w:hyperlink r:id="rId36" w:tooltip="https://www.cde.ca.gov/be/pn/im/documents/memo-pptb-amard-apr18item01.docx">
        <w:r w:rsidRPr="00940517">
          <w:rPr>
            <w:rStyle w:val="Hyperlink"/>
            <w:rFonts w:cs="Arial"/>
          </w:rPr>
          <w:t>https://www.cde.ca.gov/be/pn/im/documents/memo-pptb-amard-apr18item01.docx</w:t>
        </w:r>
      </w:hyperlink>
      <w:r w:rsidRPr="00940517">
        <w:rPr>
          <w:rFonts w:cs="Arial"/>
        </w:rPr>
        <w:t>)</w:t>
      </w:r>
    </w:p>
    <w:p w14:paraId="371296E8" w14:textId="616D021B" w:rsidR="00F932FF" w:rsidRPr="00940517" w:rsidRDefault="00ED1D45" w:rsidP="00F62925">
      <w:pPr>
        <w:pStyle w:val="ListParagraph"/>
        <w:numPr>
          <w:ilvl w:val="0"/>
          <w:numId w:val="13"/>
        </w:numPr>
        <w:spacing w:after="240"/>
      </w:pPr>
      <w:r w:rsidRPr="00940517">
        <w:rPr>
          <w:color w:val="000000" w:themeColor="text1"/>
        </w:rPr>
        <w:t xml:space="preserve">Ongoing Development of California’s New Accountability System: Timeline of State Board of Education Agenda Items and Information Memoranda Regarding the California School Dashboard. </w:t>
      </w:r>
      <w:r w:rsidRPr="00940517">
        <w:t>(</w:t>
      </w:r>
      <w:hyperlink r:id="rId37" w:tooltip="https://www.cde.ca.gov/be/pn/im/documents/memo-pptb-amard-mar18item01.docx">
        <w:r w:rsidRPr="00940517">
          <w:rPr>
            <w:rStyle w:val="Hyperlink"/>
          </w:rPr>
          <w:t>https://www.cde.ca.gov/be/pn/im/documents/memo-pptb-amard-mar18item01.docx</w:t>
        </w:r>
      </w:hyperlink>
      <w:r w:rsidRPr="00940517">
        <w:t>)</w:t>
      </w:r>
    </w:p>
    <w:p w14:paraId="241F5EDD" w14:textId="5FB293EA" w:rsidR="00ED1D45" w:rsidRPr="00940517" w:rsidRDefault="00ED1D45" w:rsidP="00ED1D45">
      <w:pPr>
        <w:spacing w:after="240"/>
        <w:rPr>
          <w:color w:val="000000" w:themeColor="text1"/>
        </w:rPr>
      </w:pPr>
      <w:r w:rsidRPr="00940517">
        <w:rPr>
          <w:rFonts w:cs="Arial"/>
        </w:rPr>
        <w:t>In June 2018, the SBE received an Information Memorandu</w:t>
      </w:r>
      <w:r w:rsidR="007E0B27" w:rsidRPr="00940517">
        <w:rPr>
          <w:rFonts w:cs="Arial"/>
        </w:rPr>
        <w:t>m</w:t>
      </w:r>
      <w:r w:rsidRPr="00940517">
        <w:rPr>
          <w:rFonts w:cs="Arial"/>
        </w:rPr>
        <w:t xml:space="preserve"> on the o</w:t>
      </w:r>
      <w:r w:rsidRPr="00940517">
        <w:t xml:space="preserve">ngoing Development of California’s New Accountability System: Update on </w:t>
      </w:r>
      <w:r w:rsidRPr="00940517">
        <w:rPr>
          <w:color w:val="000000" w:themeColor="text1"/>
        </w:rPr>
        <w:t>Revisions to Calculating the Graduation Rate and Impact on the California School Dashboard. (</w:t>
      </w:r>
      <w:hyperlink r:id="rId38" w:tooltip="https://www.cde.ca.gov/be/pn/im/documents/memo-pptb-amard-jun18item02.docx">
        <w:r w:rsidRPr="00940517">
          <w:rPr>
            <w:rStyle w:val="Hyperlink"/>
          </w:rPr>
          <w:t>https://www.cde.ca.gov/be/pn/im/documents/memo-pptb-amard-jun18item02.docx</w:t>
        </w:r>
      </w:hyperlink>
      <w:r w:rsidRPr="00940517">
        <w:rPr>
          <w:color w:val="000000" w:themeColor="text1"/>
        </w:rPr>
        <w:t>)</w:t>
      </w:r>
    </w:p>
    <w:p w14:paraId="60BA1509" w14:textId="7E865605" w:rsidR="00FF5A30" w:rsidRPr="00940517" w:rsidRDefault="00AC683B" w:rsidP="00ED1D45">
      <w:pPr>
        <w:spacing w:after="240"/>
        <w:rPr>
          <w:color w:val="000000"/>
        </w:rPr>
      </w:pPr>
      <w:r w:rsidRPr="00940517">
        <w:rPr>
          <w:color w:val="000000"/>
        </w:rPr>
        <w:t xml:space="preserve">In March 2019, the SBE received and approved an update to the continuing developmental work on the Dashboard and revisions that </w:t>
      </w:r>
      <w:r w:rsidR="00FF5A30" w:rsidRPr="00940517">
        <w:rPr>
          <w:color w:val="000000"/>
        </w:rPr>
        <w:t>were being considered by the CDE for the 2019 Dashboard. (</w:t>
      </w:r>
      <w:hyperlink r:id="rId39" w:tooltip="https://www.cde.ca.gov/be/ag/ag/yr19/documents/mar19item17.docx" w:history="1">
        <w:r w:rsidR="00FF5A30" w:rsidRPr="00940517">
          <w:rPr>
            <w:rStyle w:val="Hyperlink"/>
          </w:rPr>
          <w:t>https://www.cde.ca.gov/be/ag/ag/yr19/documents/mar19item17.docx</w:t>
        </w:r>
      </w:hyperlink>
      <w:r w:rsidR="00FF5A30" w:rsidRPr="00940517">
        <w:rPr>
          <w:color w:val="000000"/>
        </w:rPr>
        <w:t>)</w:t>
      </w:r>
    </w:p>
    <w:p w14:paraId="71463CFB" w14:textId="3A6B8929" w:rsidR="003278BF" w:rsidRPr="00940517" w:rsidRDefault="00597905" w:rsidP="00050531">
      <w:pPr>
        <w:spacing w:after="240"/>
      </w:pPr>
      <w:r w:rsidRPr="00940517">
        <w:rPr>
          <w:color w:val="000000"/>
        </w:rPr>
        <w:t xml:space="preserve">In March 2020, the SBE </w:t>
      </w:r>
      <w:r w:rsidR="00CE2122" w:rsidRPr="00940517">
        <w:rPr>
          <w:color w:val="000000"/>
        </w:rPr>
        <w:t xml:space="preserve">an annual update to the continuing developmental work on the Dashboard and revisions that were being considered by the CDE for the 2020 Dashboard. </w:t>
      </w:r>
      <w:r w:rsidR="004B5EC4" w:rsidRPr="00940517">
        <w:rPr>
          <w:color w:val="000000"/>
        </w:rPr>
        <w:t>(</w:t>
      </w:r>
      <w:hyperlink r:id="rId40" w:tooltip="https://www.cde.ca.gov/be/ag/ag/yr20/documents/mar20item05.docx" w:history="1">
        <w:r w:rsidR="004B5EC4" w:rsidRPr="00940517">
          <w:rPr>
            <w:rStyle w:val="Hyperlink"/>
          </w:rPr>
          <w:t>https://www.cde.ca.gov/be/ag/ag/yr20/documents/mar20item05.docx</w:t>
        </w:r>
      </w:hyperlink>
      <w:r w:rsidR="004B5EC4" w:rsidRPr="00940517">
        <w:rPr>
          <w:color w:val="000000"/>
        </w:rPr>
        <w:t xml:space="preserve">) </w:t>
      </w:r>
      <w:r w:rsidR="0088252F" w:rsidRPr="00940517">
        <w:t xml:space="preserve">COVID-19 </w:t>
      </w:r>
      <w:r w:rsidR="002A0A33" w:rsidRPr="00940517">
        <w:t xml:space="preserve">Accountability </w:t>
      </w:r>
      <w:r w:rsidR="003278BF" w:rsidRPr="00940517">
        <w:t>Wa</w:t>
      </w:r>
      <w:r w:rsidR="007E0B27" w:rsidRPr="00940517">
        <w:t>iv</w:t>
      </w:r>
      <w:r w:rsidR="003278BF" w:rsidRPr="00940517">
        <w:t>er Requests</w:t>
      </w:r>
    </w:p>
    <w:p w14:paraId="27F58FBD" w14:textId="5AB5DEEC" w:rsidR="00F852A5" w:rsidRPr="00940517" w:rsidRDefault="00F852A5" w:rsidP="00A5362C">
      <w:r w:rsidRPr="00940517">
        <w:t>In January 2022, the CDE provided the SBE an December 2021 Information Memorandum on data reporting for the 2020</w:t>
      </w:r>
      <w:r w:rsidRPr="00940517">
        <w:rPr>
          <w:rFonts w:cs="Arial"/>
        </w:rPr>
        <w:t>–</w:t>
      </w:r>
      <w:r w:rsidRPr="00940517">
        <w:t xml:space="preserve">21 school year. </w:t>
      </w:r>
    </w:p>
    <w:p w14:paraId="45898263" w14:textId="4C574EC2" w:rsidR="0014601A" w:rsidRPr="00940517" w:rsidRDefault="0014601A" w:rsidP="00DB0385">
      <w:pPr>
        <w:spacing w:after="240"/>
      </w:pPr>
      <w:r w:rsidRPr="00940517">
        <w:t>(</w:t>
      </w:r>
      <w:hyperlink r:id="rId41" w:tooltip="https://www.cde.ca.gov/be/pn/im/documents/dec21memoamard01.docx">
        <w:r w:rsidRPr="00940517">
          <w:rPr>
            <w:rStyle w:val="Hyperlink"/>
          </w:rPr>
          <w:t>https://www.cde.ca.gov/be/pn/im/documents/dec21memoamard01.docx</w:t>
        </w:r>
      </w:hyperlink>
      <w:r w:rsidRPr="00940517">
        <w:t>)</w:t>
      </w:r>
    </w:p>
    <w:p w14:paraId="7D00122B" w14:textId="3D722ADF" w:rsidR="0043382D" w:rsidRPr="00940517" w:rsidRDefault="0043382D" w:rsidP="00476DA1">
      <w:pPr>
        <w:pStyle w:val="Heading3"/>
      </w:pPr>
      <w:r w:rsidRPr="00940517">
        <w:t>Academic Indicator</w:t>
      </w:r>
    </w:p>
    <w:p w14:paraId="031D3C5F" w14:textId="105A9803" w:rsidR="008F4414" w:rsidRPr="00940517" w:rsidRDefault="008F4414" w:rsidP="00ED1D45">
      <w:pPr>
        <w:spacing w:after="240"/>
        <w:rPr>
          <w:rFonts w:cs="Arial"/>
        </w:rPr>
      </w:pPr>
      <w:r w:rsidRPr="00940517">
        <w:rPr>
          <w:rFonts w:cs="Arial"/>
        </w:rPr>
        <w:t>In May 2016, the SBE approved the Academic Indicator as a state indicator to be part of the design of the local control funding formula (LCFF) evaluation rubrics (which is currently reported through the Dashboard). (</w:t>
      </w:r>
      <w:hyperlink r:id="rId42" w:tooltip="https://www.cde.ca.gov/be/ag/ag/yr16/documents/may16item02revised.doc" w:history="1">
        <w:r w:rsidRPr="00940517">
          <w:rPr>
            <w:rStyle w:val="Hyperlink"/>
            <w:rFonts w:cs="Arial"/>
          </w:rPr>
          <w:t>https://www.cde.ca.gov/be/ag/ag/yr16/documents/may16item02revised.doc</w:t>
        </w:r>
      </w:hyperlink>
      <w:r w:rsidRPr="00940517">
        <w:rPr>
          <w:rFonts w:cs="Arial"/>
        </w:rPr>
        <w:t>)</w:t>
      </w:r>
    </w:p>
    <w:p w14:paraId="4C3C4434" w14:textId="458B697C" w:rsidR="00ED1D45" w:rsidRPr="00940517" w:rsidRDefault="00ED1D45" w:rsidP="00ED1D45">
      <w:pPr>
        <w:spacing w:after="240"/>
        <w:rPr>
          <w:rFonts w:cs="Arial"/>
        </w:rPr>
      </w:pPr>
      <w:r w:rsidRPr="00940517">
        <w:rPr>
          <w:rFonts w:cs="Arial"/>
        </w:rPr>
        <w:lastRenderedPageBreak/>
        <w:t>In January 2017, the SBE approved the Academic Indicator, based on student test scores on English language arts/literacy (ELA) and mathematics for grades three through eight that includes results from the second year of Smarter Balanced tests, as well as the definition of the English Learner (EL) student group for the Academic Indicator. (</w:t>
      </w:r>
      <w:hyperlink r:id="rId43" w:tooltip="https://www.cde.ca.gov/be/ag/ag/yr17/documents/jan17item02.doc">
        <w:r w:rsidRPr="00940517">
          <w:rPr>
            <w:rStyle w:val="Hyperlink"/>
            <w:rFonts w:cs="Arial"/>
          </w:rPr>
          <w:t>https://www.cde.ca.gov/be/ag/ag/yr17/documents/jan17item02.doc</w:t>
        </w:r>
      </w:hyperlink>
      <w:r w:rsidRPr="00940517">
        <w:rPr>
          <w:rFonts w:cs="Arial"/>
        </w:rPr>
        <w:t>)</w:t>
      </w:r>
    </w:p>
    <w:p w14:paraId="5F0A0AFA" w14:textId="3C20D12F" w:rsidR="00ED1D45" w:rsidRPr="00940517" w:rsidRDefault="00ED1D45" w:rsidP="00ED1D45">
      <w:pPr>
        <w:spacing w:after="240"/>
        <w:rPr>
          <w:rFonts w:cs="Arial"/>
          <w:color w:val="000000" w:themeColor="text1"/>
        </w:rPr>
      </w:pPr>
      <w:r w:rsidRPr="00940517">
        <w:rPr>
          <w:rFonts w:cs="Arial"/>
          <w:color w:val="000000" w:themeColor="text1"/>
        </w:rPr>
        <w:t>In November 2017, the SBE adopted new Status cut scores for the Academic Indicator (for both ELA and mathematics) and the Change cut scores for mathematics only. In addition, the SBE adopted new five-by-five colored grids for the Academic Indicator. (</w:t>
      </w:r>
      <w:hyperlink r:id="rId44" w:tooltip="https://www.cde.ca.gov/be/ag/ag/yr17/documents/nov17item03.doc">
        <w:r w:rsidRPr="00940517">
          <w:rPr>
            <w:rStyle w:val="Hyperlink"/>
            <w:rFonts w:cs="Arial"/>
          </w:rPr>
          <w:t>https://www.cde.ca.gov/be/ag/ag/yr17/documents/nov17item03.doc</w:t>
        </w:r>
      </w:hyperlink>
      <w:r w:rsidRPr="00940517">
        <w:rPr>
          <w:rFonts w:cs="Arial"/>
          <w:color w:val="000000" w:themeColor="text1"/>
        </w:rPr>
        <w:t>)</w:t>
      </w:r>
    </w:p>
    <w:p w14:paraId="12C99358" w14:textId="429EDB1F" w:rsidR="007E0B27" w:rsidRPr="00940517" w:rsidRDefault="007E0B27" w:rsidP="007E0B27">
      <w:pPr>
        <w:spacing w:after="240"/>
        <w:rPr>
          <w:rFonts w:cs="Arial"/>
          <w:color w:val="000000"/>
        </w:rPr>
      </w:pPr>
      <w:r w:rsidRPr="00940517">
        <w:rPr>
          <w:rFonts w:cs="Arial"/>
          <w:color w:val="000000"/>
        </w:rPr>
        <w:t>In April 2018, the SBE approved the inclusion of grade eleven Smarter Balanced Summative Results for ELA and mathematics in the Academic Indicator, based on feedback received from the U.S. Department of Education (ED) on California’s Every Student Succeeds Act (ESSA) Plan. (</w:t>
      </w:r>
      <w:hyperlink r:id="rId45" w:tooltip="https://www.cde.ca.gov/be/ag/ag/yr18/documents/apr18item01.docx" w:history="1">
        <w:r w:rsidRPr="00940517">
          <w:rPr>
            <w:rStyle w:val="Hyperlink"/>
            <w:rFonts w:cs="Arial"/>
          </w:rPr>
          <w:t>https://www.cde.ca.gov/be/ag/ag/yr18/documents/apr18item01.docx</w:t>
        </w:r>
      </w:hyperlink>
      <w:r w:rsidRPr="00940517">
        <w:rPr>
          <w:rFonts w:cs="Arial"/>
          <w:color w:val="000000"/>
        </w:rPr>
        <w:t>)</w:t>
      </w:r>
    </w:p>
    <w:p w14:paraId="0864DBB6" w14:textId="30F6FCE1" w:rsidR="007E0B27" w:rsidRPr="00940517" w:rsidRDefault="007E0B27" w:rsidP="007E0B27">
      <w:pPr>
        <w:spacing w:after="240"/>
      </w:pPr>
      <w:r w:rsidRPr="00940517">
        <w:t xml:space="preserve">In November 2018, the SBE approved separate Status cut scores for high schools and high school districts for the Academic Indicator. </w:t>
      </w:r>
      <w:r w:rsidRPr="00940517">
        <w:rPr>
          <w:rFonts w:cs="Arial"/>
        </w:rPr>
        <w:t>(</w:t>
      </w:r>
      <w:hyperlink r:id="rId46" w:tooltip="https://www.cde.ca.gov/be/ag/ag/yr18/documents/nov18item04.docx" w:history="1">
        <w:r w:rsidRPr="00940517">
          <w:rPr>
            <w:rStyle w:val="Hyperlink"/>
            <w:rFonts w:cs="Arial"/>
          </w:rPr>
          <w:t>https://www.cde.ca.gov/be/ag/ag/yr18/documents/nov18item04.docx</w:t>
        </w:r>
      </w:hyperlink>
      <w:r w:rsidRPr="00940517">
        <w:rPr>
          <w:rFonts w:cs="Arial"/>
        </w:rPr>
        <w:t>)</w:t>
      </w:r>
    </w:p>
    <w:p w14:paraId="47B65304" w14:textId="33044302" w:rsidR="007E0B27" w:rsidRPr="00940517" w:rsidRDefault="007E0B27" w:rsidP="007E0B27">
      <w:pPr>
        <w:spacing w:after="240"/>
        <w:rPr>
          <w:b/>
        </w:rPr>
      </w:pPr>
      <w:r w:rsidRPr="00940517">
        <w:t>In September 2019, the SBE approved a modified set of Status cut scores for DASS schools</w:t>
      </w:r>
      <w:r w:rsidR="00F6274E" w:rsidRPr="00940517">
        <w:t xml:space="preserve"> and approved the incorporation of the California Alternate Assessment for the Academic Indicator</w:t>
      </w:r>
      <w:r w:rsidRPr="00940517">
        <w:t>. (</w:t>
      </w:r>
      <w:hyperlink r:id="rId47" w:tooltip="https://www.cde.ca.gov/be/ag/ag/yr19/documents/sep19item01.docx" w:history="1">
        <w:r w:rsidRPr="00940517">
          <w:rPr>
            <w:rStyle w:val="Hyperlink"/>
          </w:rPr>
          <w:t>https://www.cde.ca.gov/be/ag/ag/yr19/documents/sep19item01.docx</w:t>
        </w:r>
      </w:hyperlink>
      <w:r w:rsidRPr="00940517">
        <w:t>)</w:t>
      </w:r>
    </w:p>
    <w:p w14:paraId="60AD5BFE" w14:textId="77777777" w:rsidR="0043382D" w:rsidRPr="00940517" w:rsidRDefault="0043382D" w:rsidP="00476DA1">
      <w:pPr>
        <w:pStyle w:val="Heading3"/>
      </w:pPr>
      <w:r w:rsidRPr="00940517">
        <w:t>Chronic Absenteeism Indicator</w:t>
      </w:r>
    </w:p>
    <w:p w14:paraId="5D442107" w14:textId="7194F56A" w:rsidR="000A119F" w:rsidRPr="00940517" w:rsidRDefault="000A119F" w:rsidP="000A119F">
      <w:pPr>
        <w:spacing w:after="240"/>
        <w:rPr>
          <w:rStyle w:val="Hyperlink"/>
          <w:rFonts w:eastAsiaTheme="majorEastAsia" w:cs="Arial"/>
          <w:color w:val="auto"/>
        </w:rPr>
      </w:pPr>
      <w:r w:rsidRPr="00940517">
        <w:rPr>
          <w:rFonts w:cs="Arial"/>
        </w:rPr>
        <w:t>In November 2014, the SBE adopted the Local Control and Accountability Plan (LCAP) template, which included the formula for calculating the Chronic Absenteeism rate. (</w:t>
      </w:r>
      <w:hyperlink r:id="rId48" w:tooltip="https://www.cde.ca.gov/be/ag/ag/yr14/documents/nov14item14.doc" w:history="1">
        <w:r w:rsidRPr="00940517">
          <w:rPr>
            <w:rStyle w:val="Hyperlink"/>
            <w:rFonts w:eastAsiaTheme="majorEastAsia" w:cs="Arial"/>
          </w:rPr>
          <w:t>https://www.cde.ca.gov/be/ag/ag/yr14/documents/nov14item14.doc</w:t>
        </w:r>
      </w:hyperlink>
      <w:r w:rsidRPr="00940517">
        <w:rPr>
          <w:rStyle w:val="Hyperlink"/>
          <w:rFonts w:eastAsiaTheme="majorEastAsia" w:cs="Arial"/>
          <w:color w:val="auto"/>
          <w:u w:val="none"/>
        </w:rPr>
        <w:t>)</w:t>
      </w:r>
    </w:p>
    <w:p w14:paraId="19B4016E" w14:textId="41F7801F" w:rsidR="000A119F" w:rsidRPr="00940517" w:rsidRDefault="000A119F" w:rsidP="000A119F">
      <w:pPr>
        <w:spacing w:after="240"/>
        <w:rPr>
          <w:rFonts w:cs="Arial"/>
        </w:rPr>
      </w:pPr>
      <w:r w:rsidRPr="00940517">
        <w:rPr>
          <w:rFonts w:cs="Arial"/>
        </w:rPr>
        <w:t>In May 2016, the SBE adopted Chronic Absenteeism as a state indicator. (</w:t>
      </w:r>
      <w:hyperlink r:id="rId49" w:tooltip="https://www.cde.ca.gov/be/ag/ag/yr16/documents/may16item02revised.doc" w:history="1">
        <w:r w:rsidRPr="00940517">
          <w:rPr>
            <w:rStyle w:val="Hyperlink"/>
            <w:rFonts w:eastAsiaTheme="majorEastAsia" w:cs="Arial"/>
          </w:rPr>
          <w:t>https://www.cde.ca.gov/be/ag/ag/yr16/documents/may16item02revised.doc</w:t>
        </w:r>
      </w:hyperlink>
      <w:r w:rsidRPr="00940517">
        <w:rPr>
          <w:rFonts w:cs="Arial"/>
        </w:rPr>
        <w:t>)</w:t>
      </w:r>
    </w:p>
    <w:p w14:paraId="29A7A46A" w14:textId="464DB5C7" w:rsidR="000A119F" w:rsidRPr="00940517" w:rsidRDefault="000A119F" w:rsidP="000A119F">
      <w:pPr>
        <w:spacing w:after="240"/>
        <w:rPr>
          <w:rFonts w:cs="Arial"/>
        </w:rPr>
      </w:pPr>
      <w:r w:rsidRPr="00940517">
        <w:rPr>
          <w:rFonts w:cs="Arial"/>
        </w:rPr>
        <w:t>At the September 2017 SBE meeting, the CDE provided an update on the Chronic Absenteeism Indicator and the collection of chronic absenteeism data. (</w:t>
      </w:r>
      <w:hyperlink r:id="rId50" w:tooltip="https://www.cde.ca.gov/be/ag/ag/yr17/documents/sep17item02.doc" w:history="1">
        <w:r w:rsidRPr="00940517">
          <w:rPr>
            <w:rStyle w:val="Hyperlink"/>
            <w:rFonts w:eastAsiaTheme="majorEastAsia" w:cs="Arial"/>
          </w:rPr>
          <w:t>https://www.cde.ca.gov/be/ag/ag/yr17/documents/sep17item02.doc</w:t>
        </w:r>
      </w:hyperlink>
      <w:r w:rsidRPr="00940517">
        <w:rPr>
          <w:rFonts w:cs="Arial"/>
        </w:rPr>
        <w:t>)</w:t>
      </w:r>
    </w:p>
    <w:p w14:paraId="1F5B4CFA" w14:textId="1E8D97C9" w:rsidR="000A119F" w:rsidRPr="00940517" w:rsidRDefault="000A119F" w:rsidP="000A119F">
      <w:pPr>
        <w:spacing w:after="240"/>
        <w:rPr>
          <w:rFonts w:cs="Arial"/>
        </w:rPr>
      </w:pPr>
      <w:r w:rsidRPr="00940517">
        <w:rPr>
          <w:rFonts w:cs="Arial"/>
        </w:rPr>
        <w:t xml:space="preserve">At the November 2017 SBE meeting, the CDE provided extensive background on the Chronic Absenteeism Indicator and requested that the SBE: (1) </w:t>
      </w:r>
      <w:r w:rsidRPr="00940517">
        <w:rPr>
          <w:rFonts w:cs="Arial"/>
          <w:color w:val="000000"/>
        </w:rPr>
        <w:t xml:space="preserve">include information in the Fall 2017 Dashboard to redirect users to the Chronic Absenteeism reports on DataQuest; (2) direct CDE staff to develop a recommendation for the March 2018 SBE meeting on proposed Status cut scores that will subsequently be used to update the Fall 2017 Dashboard Chronic Absenteeism Indicator; and (3) direct CDE staff to develop a recommendation for the September or November 2018 SBE meeting on proposed </w:t>
      </w:r>
      <w:r w:rsidRPr="00940517">
        <w:rPr>
          <w:rFonts w:cs="Arial"/>
          <w:color w:val="000000"/>
        </w:rPr>
        <w:lastRenderedPageBreak/>
        <w:t>Change cut scores. (</w:t>
      </w:r>
      <w:hyperlink r:id="rId51" w:tooltip="https://www.cde.ca.gov/be/ag/ag/yr17/documents/nov17item03.doc" w:history="1">
        <w:r w:rsidRPr="00940517">
          <w:rPr>
            <w:rStyle w:val="Hyperlink"/>
            <w:rFonts w:cs="Arial"/>
          </w:rPr>
          <w:t>https://www.cde.ca.gov/be/ag/ag/yr17/documents/nov17item03.doc</w:t>
        </w:r>
      </w:hyperlink>
      <w:r w:rsidRPr="00940517">
        <w:rPr>
          <w:rFonts w:cs="Arial"/>
          <w:color w:val="000000"/>
        </w:rPr>
        <w:t>)</w:t>
      </w:r>
    </w:p>
    <w:p w14:paraId="0CA4DDD4" w14:textId="4CF7BBBF" w:rsidR="000A119F" w:rsidRPr="00940517" w:rsidRDefault="000A119F" w:rsidP="000A119F">
      <w:pPr>
        <w:spacing w:after="240"/>
      </w:pPr>
      <w:r w:rsidRPr="00940517">
        <w:t>In March 2018, the SBE was provided an update on proposed changes to the Dashboard for the 2018 Dashboard release, including an update on the development of the Chronic Absenteeism Indicator. (</w:t>
      </w:r>
      <w:hyperlink r:id="rId52" w:tooltip="https://www.cde.ca.gov/be/ag/ag/yr18/documents/mar18item01.docx" w:history="1">
        <w:r w:rsidRPr="00940517">
          <w:rPr>
            <w:rStyle w:val="Hyperlink"/>
          </w:rPr>
          <w:t>https://www.cde.ca.gov/be/ag/ag/yr18/documents/mar18item01.docx</w:t>
        </w:r>
      </w:hyperlink>
      <w:r w:rsidRPr="00940517">
        <w:t>)</w:t>
      </w:r>
    </w:p>
    <w:p w14:paraId="2BDEBAAD" w14:textId="4F1C3A39" w:rsidR="000A119F" w:rsidRPr="00940517" w:rsidRDefault="000A119F" w:rsidP="000A119F">
      <w:pPr>
        <w:spacing w:after="240"/>
      </w:pPr>
      <w:r w:rsidRPr="00940517">
        <w:t>In August 2018, the SBE received an Information Memorandum on the proposed methodology for calculating the chronic absenteeism rate. (</w:t>
      </w:r>
      <w:hyperlink r:id="rId53" w:tooltip="https://www.cde.ca.gov/be/pn/im/documents/memo-pptb-amard-aug18item02.docx" w:history="1">
        <w:r w:rsidRPr="00940517">
          <w:rPr>
            <w:rStyle w:val="Hyperlink"/>
          </w:rPr>
          <w:t>https://www.cde.ca.gov/be/pn/im/documents/memo-pptb-amard-aug18item02.docx</w:t>
        </w:r>
      </w:hyperlink>
      <w:r w:rsidRPr="00940517">
        <w:t>)</w:t>
      </w:r>
    </w:p>
    <w:p w14:paraId="46198D07" w14:textId="4611ABCF" w:rsidR="000A119F" w:rsidRPr="00940517" w:rsidRDefault="000A119F" w:rsidP="00FA6FD0">
      <w:pPr>
        <w:spacing w:after="240"/>
      </w:pPr>
      <w:r w:rsidRPr="00940517">
        <w:t>In September 2018, the SBE approved the methodology for calculating the Chronic Absenteeism Indicator. (</w:t>
      </w:r>
      <w:hyperlink r:id="rId54" w:tooltip="https://www.cde.ca.gov/be/ag/ag/yr18/documents/sep18item01.docx" w:history="1">
        <w:r w:rsidRPr="00940517">
          <w:rPr>
            <w:rStyle w:val="Hyperlink"/>
          </w:rPr>
          <w:t>https://www.cde.ca.gov/be/ag/ag/yr18/documents/sep18item01.docx</w:t>
        </w:r>
      </w:hyperlink>
      <w:r w:rsidRPr="00940517">
        <w:t>)</w:t>
      </w:r>
    </w:p>
    <w:p w14:paraId="3E730F4A" w14:textId="459CA04B" w:rsidR="00982992" w:rsidRPr="00940517" w:rsidRDefault="00982992" w:rsidP="00982992">
      <w:pPr>
        <w:spacing w:after="240"/>
      </w:pPr>
      <w:r w:rsidRPr="00940517">
        <w:t xml:space="preserve">In November 2018, the SBE approved Status and Change cut scores for the Chronic Indicator. </w:t>
      </w:r>
      <w:r w:rsidRPr="00940517">
        <w:rPr>
          <w:rFonts w:cs="Arial"/>
        </w:rPr>
        <w:t>(</w:t>
      </w:r>
      <w:hyperlink r:id="rId55" w:tooltip="https://www.cde.ca.gov/be/ag/ag/yr18/documents/nov18item04.docx" w:history="1">
        <w:r w:rsidRPr="00940517">
          <w:rPr>
            <w:rStyle w:val="Hyperlink"/>
            <w:rFonts w:cs="Arial"/>
          </w:rPr>
          <w:t>https://www.cde.ca.gov/be/ag/ag/yr18/documents/nov18item04.docx</w:t>
        </w:r>
      </w:hyperlink>
      <w:r w:rsidRPr="00940517">
        <w:rPr>
          <w:rFonts w:cs="Arial"/>
        </w:rPr>
        <w:t>)</w:t>
      </w:r>
    </w:p>
    <w:p w14:paraId="562FE89D" w14:textId="2F68C07E" w:rsidR="00EC240B" w:rsidRPr="00940517" w:rsidRDefault="00EC240B" w:rsidP="00476DA1">
      <w:pPr>
        <w:pStyle w:val="Heading3"/>
      </w:pPr>
      <w:r w:rsidRPr="00940517">
        <w:t>College/Career Indicator</w:t>
      </w:r>
    </w:p>
    <w:p w14:paraId="06FBAA9A" w14:textId="58EBA081" w:rsidR="00EC240B" w:rsidRPr="00940517" w:rsidRDefault="00EC240B" w:rsidP="00EC240B">
      <w:pPr>
        <w:spacing w:after="240"/>
        <w:rPr>
          <w:rFonts w:cs="Arial"/>
        </w:rPr>
      </w:pPr>
      <w:r w:rsidRPr="00940517">
        <w:rPr>
          <w:rFonts w:cs="Arial"/>
        </w:rPr>
        <w:t>In July 2016, the SBE reviewed and approved the C</w:t>
      </w:r>
      <w:r w:rsidR="00022236" w:rsidRPr="00940517">
        <w:rPr>
          <w:rFonts w:cs="Arial"/>
        </w:rPr>
        <w:t>ollege/</w:t>
      </w:r>
      <w:r w:rsidRPr="00940517">
        <w:rPr>
          <w:rFonts w:cs="Arial"/>
        </w:rPr>
        <w:t>C</w:t>
      </w:r>
      <w:r w:rsidR="00022236" w:rsidRPr="00940517">
        <w:rPr>
          <w:rFonts w:cs="Arial"/>
        </w:rPr>
        <w:t xml:space="preserve">areer </w:t>
      </w:r>
      <w:r w:rsidRPr="00940517">
        <w:rPr>
          <w:rFonts w:cs="Arial"/>
        </w:rPr>
        <w:t>I</w:t>
      </w:r>
      <w:r w:rsidR="00022236" w:rsidRPr="00940517">
        <w:rPr>
          <w:rFonts w:cs="Arial"/>
        </w:rPr>
        <w:t>ndicator (CCI)</w:t>
      </w:r>
      <w:r w:rsidRPr="00940517">
        <w:rPr>
          <w:rFonts w:cs="Arial"/>
        </w:rPr>
        <w:t xml:space="preserve"> as a state indicator</w:t>
      </w:r>
      <w:r w:rsidR="008F4414" w:rsidRPr="00940517">
        <w:rPr>
          <w:rFonts w:cs="Arial"/>
        </w:rPr>
        <w:t xml:space="preserve">. </w:t>
      </w:r>
      <w:r w:rsidRPr="00940517">
        <w:rPr>
          <w:rFonts w:cs="Arial"/>
        </w:rPr>
        <w:t>(</w:t>
      </w:r>
      <w:hyperlink r:id="rId56" w:tooltip="https://www.cde.ca.gov/be/mt/ms/documents/finalminutes1314jul2016.doc">
        <w:r w:rsidRPr="00940517">
          <w:rPr>
            <w:rStyle w:val="Hyperlink"/>
            <w:rFonts w:eastAsiaTheme="majorEastAsia" w:cs="Arial"/>
          </w:rPr>
          <w:t>https://www.cde.ca.gov/be/mt/ms/documents/finalminutes1314jul2016.doc</w:t>
        </w:r>
      </w:hyperlink>
      <w:r w:rsidRPr="00940517">
        <w:rPr>
          <w:rFonts w:cs="Arial"/>
        </w:rPr>
        <w:t>).</w:t>
      </w:r>
    </w:p>
    <w:p w14:paraId="7FCC8812" w14:textId="31CFA736" w:rsidR="00EC240B" w:rsidRPr="00940517" w:rsidRDefault="00EC240B" w:rsidP="00EC240B">
      <w:pPr>
        <w:spacing w:after="240"/>
        <w:rPr>
          <w:rFonts w:cs="Arial"/>
        </w:rPr>
      </w:pPr>
      <w:r w:rsidRPr="00940517">
        <w:rPr>
          <w:rFonts w:cs="Arial"/>
        </w:rPr>
        <w:t xml:space="preserve">In September 2016, the SBE reviewed and approved Status performance levels for the CCI based on the 2013–14 cohort data file, and approved the re-evaluation of the performance levels in September 2017 once the first year of results of Smarter Balanced assessment were included in the CCI. The SBE also directed the removal of the </w:t>
      </w:r>
      <w:r w:rsidRPr="00940517">
        <w:rPr>
          <w:rFonts w:cs="Arial"/>
          <w:color w:val="000000" w:themeColor="text1"/>
        </w:rPr>
        <w:t xml:space="preserve">“Well Prepared” category until additional data on career readiness becomes available </w:t>
      </w:r>
      <w:r w:rsidRPr="00940517">
        <w:rPr>
          <w:rFonts w:cs="Arial"/>
        </w:rPr>
        <w:t>(</w:t>
      </w:r>
      <w:hyperlink r:id="rId57" w:tooltip="https://www.cde.ca.gov/be/ag/ag/yr16/documents/sep16item01.doc">
        <w:r w:rsidRPr="00940517">
          <w:rPr>
            <w:rStyle w:val="Hyperlink"/>
            <w:rFonts w:eastAsiaTheme="majorEastAsia" w:cs="Arial"/>
          </w:rPr>
          <w:t>https://www.cde.ca.gov/be/ag/ag/yr16/documents/sep16item01.doc</w:t>
        </w:r>
      </w:hyperlink>
      <w:r w:rsidRPr="00940517">
        <w:rPr>
          <w:rFonts w:cs="Arial"/>
        </w:rPr>
        <w:t>).</w:t>
      </w:r>
    </w:p>
    <w:p w14:paraId="648D083B" w14:textId="0C208E90" w:rsidR="00EC240B" w:rsidRPr="00940517" w:rsidRDefault="00EC240B" w:rsidP="00EC240B">
      <w:pPr>
        <w:spacing w:before="240" w:after="240"/>
      </w:pPr>
      <w:r w:rsidRPr="00940517">
        <w:rPr>
          <w:rFonts w:cs="Arial"/>
        </w:rPr>
        <w:t>In September 2017, the SBE reviewed a three-year implementation plan for the CCI. In addition, the SBE reviewed a clarification to one of the CCI criterion in the “Approaching Prepared” level within the CCI and the recommended revised Status cut scores based on the Class of 2016. The SBE approved the revised cut scores for Status. The SBE also reviewed the three-year plan timeline for fully building out this indicator to include additional career and college measures (</w:t>
      </w:r>
      <w:hyperlink r:id="rId58" w:tooltip="https://www.cde.ca.gov/be/ag/ag/yr17/documents/sep17item02.doc" w:history="1">
        <w:r w:rsidRPr="00940517">
          <w:rPr>
            <w:rStyle w:val="Hyperlink"/>
            <w:rFonts w:eastAsiaTheme="majorEastAsia" w:cs="Arial"/>
          </w:rPr>
          <w:t>https://www.cde.ca.gov/be/ag/ag/yr17/documents/sep17item02.doc</w:t>
        </w:r>
      </w:hyperlink>
      <w:r w:rsidR="00FA6FD0" w:rsidRPr="00940517">
        <w:rPr>
          <w:rFonts w:eastAsiaTheme="majorEastAsia"/>
        </w:rPr>
        <w:t>)</w:t>
      </w:r>
    </w:p>
    <w:p w14:paraId="1181BCA4" w14:textId="171C0FD2" w:rsidR="00EC240B" w:rsidRPr="00940517" w:rsidRDefault="00EC240B" w:rsidP="00EC240B">
      <w:pPr>
        <w:spacing w:before="240" w:after="240"/>
        <w:rPr>
          <w:rFonts w:cs="Arial"/>
        </w:rPr>
      </w:pPr>
      <w:r w:rsidRPr="00940517">
        <w:rPr>
          <w:rFonts w:cs="Arial"/>
        </w:rPr>
        <w:t>In February 2018, the SBE received an Information Memorandum that provided an update on the status of the three-year CCI timeline and the development of new career measures, including Leadership/Military Science (</w:t>
      </w:r>
      <w:hyperlink r:id="rId59" w:tooltip="https://www.cde.ca.gov/be/pn/im/documents/memo-pptb-amard-feb18item02.docx" w:history="1">
        <w:r w:rsidRPr="00940517">
          <w:rPr>
            <w:rStyle w:val="Hyperlink"/>
            <w:rFonts w:eastAsiaTheme="majorEastAsia" w:cs="Arial"/>
          </w:rPr>
          <w:t>https://www.cde.ca.gov/be/pn/im/documents/memo-pptb-amard-feb18item02.docx</w:t>
        </w:r>
      </w:hyperlink>
      <w:r w:rsidRPr="00940517">
        <w:rPr>
          <w:rFonts w:cs="Arial"/>
        </w:rPr>
        <w:t>).</w:t>
      </w:r>
    </w:p>
    <w:p w14:paraId="392EA70F" w14:textId="1D632D39" w:rsidR="00EC240B" w:rsidRPr="00940517" w:rsidRDefault="00EC240B" w:rsidP="00EC240B">
      <w:pPr>
        <w:spacing w:before="240" w:after="240"/>
        <w:rPr>
          <w:rFonts w:cs="Arial"/>
        </w:rPr>
      </w:pPr>
      <w:r w:rsidRPr="00940517">
        <w:rPr>
          <w:rFonts w:cs="Arial"/>
        </w:rPr>
        <w:t xml:space="preserve">In March 2018, the SBE was informed of the revisions made to the Fall 2017 Dashboard, including items that were being prepared for the 2018 Dashboard release, </w:t>
      </w:r>
      <w:r w:rsidRPr="00940517">
        <w:rPr>
          <w:rFonts w:cs="Arial"/>
        </w:rPr>
        <w:lastRenderedPageBreak/>
        <w:t>such as the potential use of the following three CCI measures: State Seal of Biliteracy, Golden State Seal Merit Diploma, and Articulated Career Technical Education Courses (</w:t>
      </w:r>
      <w:hyperlink r:id="rId60" w:tooltip="https://www.cde.ca.gov/be/ag/ag/yr18/documents/mar18item01.docx">
        <w:r w:rsidRPr="00940517">
          <w:rPr>
            <w:rStyle w:val="Hyperlink"/>
            <w:rFonts w:eastAsiaTheme="majorEastAsia" w:cs="Arial"/>
          </w:rPr>
          <w:t>https://www.cde.ca.gov/be/ag/ag/yr18/documents/mar18item01.docx</w:t>
        </w:r>
      </w:hyperlink>
      <w:r w:rsidRPr="00940517">
        <w:rPr>
          <w:rFonts w:cs="Arial"/>
        </w:rPr>
        <w:t>).</w:t>
      </w:r>
    </w:p>
    <w:p w14:paraId="4DCBCF3A" w14:textId="78B39C82" w:rsidR="00EC240B" w:rsidRPr="00940517" w:rsidRDefault="00EC240B" w:rsidP="00EC240B">
      <w:pPr>
        <w:spacing w:before="240" w:after="240"/>
        <w:rPr>
          <w:rFonts w:eastAsiaTheme="majorEastAsia"/>
        </w:rPr>
      </w:pPr>
      <w:r w:rsidRPr="00940517">
        <w:rPr>
          <w:rFonts w:cs="Arial"/>
        </w:rPr>
        <w:t>In April 2018, the SBE received an Information Memorandum that provided an overview of the research conducted in the development of the CCI and the rigorous vetting criteria and processes that were applied to select CCI measures (</w:t>
      </w:r>
      <w:hyperlink r:id="rId61" w:tooltip="https://www.cde.ca.gov/be/pn/im/documents/memo-pptb-amard-apr18item02.docx" w:history="1">
        <w:r w:rsidRPr="00940517">
          <w:rPr>
            <w:rStyle w:val="Hyperlink"/>
            <w:rFonts w:eastAsiaTheme="majorEastAsia" w:cs="Arial"/>
          </w:rPr>
          <w:t>https://www.cde.ca.gov/be/pn/im/documents/memo-pptb-amard-apr18item02.docx</w:t>
        </w:r>
      </w:hyperlink>
      <w:r w:rsidRPr="00940517">
        <w:rPr>
          <w:rFonts w:eastAsiaTheme="majorEastAsia"/>
        </w:rPr>
        <w:t>)</w:t>
      </w:r>
    </w:p>
    <w:p w14:paraId="1ED9C9AD" w14:textId="76CEDAFA" w:rsidR="00EC240B" w:rsidRPr="00940517" w:rsidRDefault="00EC240B" w:rsidP="00EC240B">
      <w:pPr>
        <w:spacing w:before="240" w:after="240"/>
        <w:rPr>
          <w:rFonts w:cs="Arial"/>
        </w:rPr>
      </w:pPr>
      <w:r w:rsidRPr="00940517">
        <w:rPr>
          <w:rFonts w:cs="Arial"/>
        </w:rPr>
        <w:t>In May 2018, the SBE held a Study Session on the CCI and received an overview of the indicator and presentation from an LEA on their local use of the CCI (</w:t>
      </w:r>
      <w:hyperlink r:id="rId62" w:tooltip="https://www.cde.ca.gov/be/ag/ag/yr18/documents/may18item02slides.pdf">
        <w:r w:rsidRPr="00940517">
          <w:rPr>
            <w:rStyle w:val="Hyperlink"/>
            <w:rFonts w:eastAsiaTheme="majorEastAsia" w:cs="Arial"/>
          </w:rPr>
          <w:t>https://www.cde.ca.gov/be/ag/ag/yr18/documents/may18item02slides.pdf</w:t>
        </w:r>
      </w:hyperlink>
      <w:r w:rsidRPr="00940517">
        <w:rPr>
          <w:rFonts w:cs="Arial"/>
        </w:rPr>
        <w:t>)</w:t>
      </w:r>
    </w:p>
    <w:p w14:paraId="241AB104" w14:textId="1D881DFE" w:rsidR="00EC240B" w:rsidRPr="00940517" w:rsidRDefault="00EC240B" w:rsidP="00EC240B">
      <w:pPr>
        <w:spacing w:before="240" w:after="240"/>
        <w:rPr>
          <w:rFonts w:cs="Arial"/>
        </w:rPr>
      </w:pPr>
      <w:r w:rsidRPr="00940517">
        <w:rPr>
          <w:rFonts w:cs="Arial"/>
        </w:rPr>
        <w:t>In August 2018, the SBE received an Information Memorandum on the additional measures proposed for the CCI for the 2019 Dashboard</w:t>
      </w:r>
      <w:r w:rsidRPr="00940517">
        <w:rPr>
          <w:rFonts w:cs="Arial"/>
        </w:rPr>
        <w:br/>
        <w:t>(</w:t>
      </w:r>
      <w:hyperlink r:id="rId63" w:tooltip="https://www.cde.ca.gov/be/pn/im/documents/memo-pptb-amard-aug18item02.docx" w:history="1">
        <w:r w:rsidRPr="00940517">
          <w:rPr>
            <w:rStyle w:val="Hyperlink"/>
            <w:rFonts w:eastAsiaTheme="majorEastAsia" w:cs="Arial"/>
          </w:rPr>
          <w:t>https://www.cde.ca.gov/be/pn/im/documents/memo-pptb-amard-aug18item02.docx</w:t>
        </w:r>
      </w:hyperlink>
      <w:r w:rsidRPr="00940517">
        <w:rPr>
          <w:rFonts w:cs="Arial"/>
        </w:rPr>
        <w:t>)</w:t>
      </w:r>
    </w:p>
    <w:p w14:paraId="2F059EA7" w14:textId="62B4B6E3" w:rsidR="00EC240B" w:rsidRPr="00940517" w:rsidRDefault="00EC240B" w:rsidP="00EC240B">
      <w:pPr>
        <w:spacing w:before="240" w:after="240"/>
        <w:rPr>
          <w:rFonts w:cs="Arial"/>
        </w:rPr>
      </w:pPr>
      <w:r w:rsidRPr="00940517">
        <w:rPr>
          <w:rFonts w:cs="Arial"/>
        </w:rPr>
        <w:t>In September 2018, the SBE approved the State Seal of Biliteracy and Leadership/Military Science for inclusion in the CCI. In addition, the SBE approved placement criteria for the two new measures (</w:t>
      </w:r>
      <w:hyperlink r:id="rId64" w:tooltip="https://www.cde.ca.gov/be/ag/ag/yr18/documents/sep18item01.docx" w:history="1">
        <w:r w:rsidRPr="00940517">
          <w:rPr>
            <w:rStyle w:val="Hyperlink"/>
            <w:rFonts w:eastAsiaTheme="majorEastAsia" w:cs="Arial"/>
          </w:rPr>
          <w:t>https://www.cde.ca.gov/be/ag/ag/yr18/documents/sep18item01.docx</w:t>
        </w:r>
      </w:hyperlink>
      <w:r w:rsidRPr="00940517">
        <w:rPr>
          <w:rFonts w:cs="Arial"/>
        </w:rPr>
        <w:t>).</w:t>
      </w:r>
    </w:p>
    <w:p w14:paraId="05A428FD" w14:textId="7DF1EA12" w:rsidR="00EC240B" w:rsidRPr="00940517" w:rsidRDefault="00EC240B" w:rsidP="00EC240B">
      <w:pPr>
        <w:spacing w:after="240"/>
        <w:rPr>
          <w:rStyle w:val="Hyperlink"/>
          <w:rFonts w:eastAsiaTheme="majorEastAsia" w:cs="Arial"/>
          <w:color w:val="000000" w:themeColor="text1"/>
        </w:rPr>
      </w:pPr>
      <w:r w:rsidRPr="00940517">
        <w:rPr>
          <w:rFonts w:cs="Arial"/>
        </w:rPr>
        <w:t>In November 2018, the SBE approved Status and Change cut scores for the CCI. (</w:t>
      </w:r>
      <w:hyperlink r:id="rId65" w:tooltip="https://www.cde.ca.gov/be/ag/ag/yr18/documents/nov18item04.docx" w:history="1">
        <w:r w:rsidRPr="00940517">
          <w:rPr>
            <w:rStyle w:val="Hyperlink"/>
            <w:rFonts w:eastAsiaTheme="majorEastAsia" w:cs="Arial"/>
          </w:rPr>
          <w:t>https://www.cde.ca.gov/be/ag/ag/yr18/documents/nov18item04.docx</w:t>
        </w:r>
      </w:hyperlink>
      <w:r w:rsidRPr="00940517">
        <w:rPr>
          <w:rStyle w:val="Hyperlink"/>
          <w:rFonts w:eastAsiaTheme="majorEastAsia" w:cs="Arial"/>
          <w:color w:val="000000" w:themeColor="text1"/>
        </w:rPr>
        <w:t>)</w:t>
      </w:r>
    </w:p>
    <w:p w14:paraId="05C52DDB" w14:textId="3383416D" w:rsidR="00EC240B" w:rsidRPr="00940517" w:rsidRDefault="00EC240B" w:rsidP="00EC240B">
      <w:pPr>
        <w:spacing w:after="240"/>
        <w:rPr>
          <w:rFonts w:cs="Arial"/>
        </w:rPr>
      </w:pPr>
      <w:r w:rsidRPr="00940517">
        <w:rPr>
          <w:rFonts w:cs="Arial"/>
        </w:rPr>
        <w:t>In April 2019, the CDE provided an Information Memorandum on the history, implementation, and purpose of the CCI in the Accountability System which was used for the May Study Session (</w:t>
      </w:r>
      <w:hyperlink r:id="rId66" w:tooltip="https://www.cde.ca.gov/be/pn/im/documents/memo-pptb-amard-apr19item01.docx" w:history="1">
        <w:r w:rsidRPr="00940517">
          <w:rPr>
            <w:rStyle w:val="Hyperlink"/>
            <w:rFonts w:eastAsiaTheme="majorEastAsia" w:cs="Arial"/>
          </w:rPr>
          <w:t>https://www.cde.ca.gov/be/pn/im/documents/memo-pptb-amard-apr19item01.docx</w:t>
        </w:r>
      </w:hyperlink>
      <w:r w:rsidRPr="00940517">
        <w:rPr>
          <w:rFonts w:cs="Arial"/>
        </w:rPr>
        <w:t>).</w:t>
      </w:r>
    </w:p>
    <w:p w14:paraId="787CEA05" w14:textId="3BFD3334" w:rsidR="00EC240B" w:rsidRPr="00940517" w:rsidRDefault="00EC240B" w:rsidP="00EC240B">
      <w:pPr>
        <w:spacing w:after="240"/>
        <w:rPr>
          <w:rFonts w:cs="Arial"/>
        </w:rPr>
      </w:pPr>
      <w:r w:rsidRPr="00940517">
        <w:rPr>
          <w:rFonts w:cs="Arial"/>
        </w:rPr>
        <w:t>In May 2019, the SBE held a study session on the CCI (</w:t>
      </w:r>
      <w:hyperlink r:id="rId67" w:tooltip="https://www.cde.ca.gov/be/ag/ag/yr19/documents/may19item01studysession.docx" w:history="1">
        <w:r w:rsidRPr="00940517">
          <w:rPr>
            <w:rStyle w:val="Hyperlink"/>
            <w:rFonts w:eastAsiaTheme="majorEastAsia" w:cs="Arial"/>
          </w:rPr>
          <w:t>https://www.cde.ca.gov/be/ag/ag/yr19/documents/may19item01studysession.docx</w:t>
        </w:r>
      </w:hyperlink>
      <w:r w:rsidRPr="00940517">
        <w:rPr>
          <w:rFonts w:cs="Arial"/>
        </w:rPr>
        <w:t>).</w:t>
      </w:r>
    </w:p>
    <w:p w14:paraId="6B2ABC3F" w14:textId="6415D4D8" w:rsidR="00EC240B" w:rsidRPr="00940517" w:rsidRDefault="00EC240B" w:rsidP="00EC240B">
      <w:pPr>
        <w:spacing w:after="240"/>
        <w:rPr>
          <w:rFonts w:cs="Arial"/>
        </w:rPr>
      </w:pPr>
      <w:r w:rsidRPr="00940517">
        <w:rPr>
          <w:rFonts w:cs="Arial"/>
        </w:rPr>
        <w:t>In June 2019, the SBE received an Information Memorandum providing an update on the definitions used in California Longitudinal Pupil Achievement Data System (CALPADS) and California Special Education Management Information System (CASEMIS) for career measures collected in 2018–19 and 2019–2020 for possible inclusion in the CCI (</w:t>
      </w:r>
      <w:hyperlink r:id="rId68" w:tooltip="https://www.cde.ca.gov/be/pn/im/infomemojun2019.asp" w:history="1">
        <w:r w:rsidRPr="00940517">
          <w:rPr>
            <w:rStyle w:val="Hyperlink"/>
            <w:rFonts w:eastAsiaTheme="majorEastAsia" w:cs="Arial"/>
          </w:rPr>
          <w:t>https://www.cde.ca.gov/be/pn/im/infomemojun2019.asp</w:t>
        </w:r>
      </w:hyperlink>
      <w:r w:rsidRPr="00940517">
        <w:rPr>
          <w:rFonts w:cs="Arial"/>
        </w:rPr>
        <w:t>).</w:t>
      </w:r>
    </w:p>
    <w:p w14:paraId="6184B598" w14:textId="066156CF" w:rsidR="00EC240B" w:rsidRPr="00940517" w:rsidRDefault="00EC240B" w:rsidP="00EC240B">
      <w:pPr>
        <w:spacing w:after="240"/>
        <w:rPr>
          <w:rFonts w:cs="Arial"/>
        </w:rPr>
      </w:pPr>
      <w:r w:rsidRPr="00940517">
        <w:rPr>
          <w:rFonts w:eastAsiaTheme="majorEastAsia" w:cs="Arial"/>
        </w:rPr>
        <w:t>As shared with the SBE in an August 2019 Information Memorandum, the CDE is examining the inclusion of civic engagement as a potential career measure in the CCI (</w:t>
      </w:r>
      <w:hyperlink r:id="rId69" w:tooltip="https://www.cde.ca.gov/be/pn/im/documents/memo-branch-eeed-aug19item02.docx" w:history="1">
        <w:r w:rsidRPr="00940517">
          <w:rPr>
            <w:rStyle w:val="Hyperlink"/>
            <w:rFonts w:eastAsiaTheme="majorEastAsia" w:cs="Arial"/>
          </w:rPr>
          <w:t>https://www.cde.ca.gov/be/pn/im/documents/memo-branch-eeed-aug19item02.docx</w:t>
        </w:r>
      </w:hyperlink>
      <w:r w:rsidRPr="00940517">
        <w:rPr>
          <w:rFonts w:eastAsiaTheme="majorEastAsia" w:cs="Arial"/>
        </w:rPr>
        <w:t>).</w:t>
      </w:r>
    </w:p>
    <w:p w14:paraId="3B377A09" w14:textId="49BAA7BD" w:rsidR="00EC240B" w:rsidRPr="00940517" w:rsidRDefault="00EC240B" w:rsidP="00EC240B">
      <w:pPr>
        <w:spacing w:before="240" w:after="240"/>
        <w:rPr>
          <w:rFonts w:cs="Arial"/>
        </w:rPr>
      </w:pPr>
      <w:r w:rsidRPr="00940517">
        <w:rPr>
          <w:rFonts w:cs="Arial"/>
          <w:color w:val="000000"/>
        </w:rPr>
        <w:t xml:space="preserve">At the March 2020 SBE meeting, the CDE reviewed the career measures collected in 2018–19 and its plans to conduct simulations for each of these measures to determine if the measures are valid and reliable and to set criteria that graduates must meet to be placed in the Prepared or Approaching Prepared CCI levels </w:t>
      </w:r>
      <w:r w:rsidRPr="00940517">
        <w:rPr>
          <w:rFonts w:cs="Arial"/>
        </w:rPr>
        <w:t>(</w:t>
      </w:r>
      <w:hyperlink r:id="rId70" w:tooltip="https://www.cde.ca.gov/be/ag/ag/yr20/documents/mar20item05.docx" w:history="1">
        <w:r w:rsidRPr="00940517">
          <w:rPr>
            <w:rStyle w:val="Hyperlink"/>
            <w:rFonts w:eastAsiaTheme="majorEastAsia" w:cs="Arial"/>
          </w:rPr>
          <w:t>https://www.cde.ca.gov/be/ag/ag/yr20/documents/mar20item05.docx</w:t>
        </w:r>
      </w:hyperlink>
      <w:r w:rsidRPr="00940517">
        <w:rPr>
          <w:rFonts w:cs="Arial"/>
        </w:rPr>
        <w:t>).</w:t>
      </w:r>
    </w:p>
    <w:p w14:paraId="5A5181BC" w14:textId="5B97F11C" w:rsidR="00EC240B" w:rsidRPr="00940517" w:rsidRDefault="00EC240B" w:rsidP="00EC240B">
      <w:pPr>
        <w:spacing w:before="240" w:after="240"/>
        <w:rPr>
          <w:rFonts w:cs="Arial"/>
        </w:rPr>
      </w:pPr>
      <w:r w:rsidRPr="00940517">
        <w:rPr>
          <w:rFonts w:cs="Arial"/>
        </w:rPr>
        <w:lastRenderedPageBreak/>
        <w:t>At the May 2020 SBE meeting, the CDE shared its data analyses on several new career measures currently being collected in CALPADS for future incorporation into the CCI. (</w:t>
      </w:r>
      <w:hyperlink r:id="rId71" w:tooltip="https://www.cde.ca.gov/be/ag/ag/yr20/documents/may20item02.docx" w:history="1">
        <w:r w:rsidRPr="00940517">
          <w:rPr>
            <w:rStyle w:val="Hyperlink"/>
            <w:rFonts w:eastAsiaTheme="majorEastAsia" w:cs="Arial"/>
          </w:rPr>
          <w:t>https://www.cde.ca.gov/be/ag/ag/yr20/documents/may20item02.docx</w:t>
        </w:r>
      </w:hyperlink>
      <w:r w:rsidRPr="00940517">
        <w:rPr>
          <w:rFonts w:cs="Arial"/>
          <w:color w:val="000000" w:themeColor="text1"/>
        </w:rPr>
        <w:t>).</w:t>
      </w:r>
    </w:p>
    <w:p w14:paraId="03EAFAAB" w14:textId="2EECDD7E" w:rsidR="00EC240B" w:rsidRPr="00940517" w:rsidRDefault="00EC240B" w:rsidP="00EC240B">
      <w:pPr>
        <w:spacing w:after="240"/>
        <w:rPr>
          <w:rFonts w:eastAsiaTheme="majorEastAsia" w:cs="Arial"/>
        </w:rPr>
      </w:pPr>
      <w:r w:rsidRPr="00940517">
        <w:rPr>
          <w:rFonts w:eastAsiaTheme="majorEastAsia" w:cs="Arial"/>
        </w:rPr>
        <w:t xml:space="preserve">In September 2020, the SBE adopted four career measures for inclusion in the CCI: Pre-Apprenticeships, State or Federal Job Programs, Transition Work-Based Learning Experiences, and </w:t>
      </w:r>
      <w:r w:rsidRPr="00940517">
        <w:rPr>
          <w:rFonts w:cs="Arial"/>
          <w:color w:val="000000" w:themeColor="text1"/>
        </w:rPr>
        <w:t>Transition Classroom-Based Learning Experiences (</w:t>
      </w:r>
      <w:hyperlink r:id="rId72" w:tooltip="https://www.cde.ca.gov/be/ag/ag/yr20/documents/sep20item02.docx" w:history="1">
        <w:r w:rsidRPr="00940517">
          <w:rPr>
            <w:rStyle w:val="Hyperlink"/>
            <w:rFonts w:cs="Arial"/>
          </w:rPr>
          <w:t>https://www.cde.ca.gov/be/ag/ag/yr20/documents/sep20item02.docx</w:t>
        </w:r>
      </w:hyperlink>
      <w:r w:rsidR="00476DA1" w:rsidRPr="00940517">
        <w:rPr>
          <w:rFonts w:cs="Arial"/>
          <w:color w:val="000000" w:themeColor="text1"/>
        </w:rPr>
        <w:t>).</w:t>
      </w:r>
    </w:p>
    <w:p w14:paraId="689F1EC7" w14:textId="41DBD45F" w:rsidR="00EC240B" w:rsidRPr="00940517" w:rsidRDefault="00EC240B" w:rsidP="00EC240B">
      <w:pPr>
        <w:spacing w:after="240"/>
        <w:rPr>
          <w:rFonts w:cs="Arial"/>
          <w:color w:val="000000" w:themeColor="text1"/>
        </w:rPr>
      </w:pPr>
      <w:r w:rsidRPr="00940517">
        <w:rPr>
          <w:rFonts w:cs="Arial"/>
          <w:color w:val="000000" w:themeColor="text1"/>
        </w:rPr>
        <w:t>In</w:t>
      </w:r>
      <w:r w:rsidRPr="00940517" w:rsidDel="00246955">
        <w:rPr>
          <w:rFonts w:cs="Arial"/>
          <w:color w:val="000000" w:themeColor="text1"/>
        </w:rPr>
        <w:t xml:space="preserve"> </w:t>
      </w:r>
      <w:r w:rsidRPr="00940517">
        <w:rPr>
          <w:rFonts w:cs="Arial"/>
          <w:color w:val="000000" w:themeColor="text1"/>
        </w:rPr>
        <w:t>September 2020, the SBE adopted the State Seal of Civic Engagement (SSCE), and the SBE directed the CDE to determine how to incorporate civic engagement into the CCI. (</w:t>
      </w:r>
      <w:hyperlink r:id="rId73" w:tooltip="https://www.cde.ca.gov/be/ag/ag/yr20/documents/sep20item05rev.docx" w:history="1">
        <w:r w:rsidRPr="00940517">
          <w:rPr>
            <w:rStyle w:val="Hyperlink"/>
            <w:rFonts w:cs="Arial"/>
          </w:rPr>
          <w:t>https://www.cde.ca.gov/be/ag/ag/yr20/documents/sep20item05rev.docx</w:t>
        </w:r>
      </w:hyperlink>
      <w:r w:rsidRPr="00940517">
        <w:rPr>
          <w:rFonts w:cs="Arial"/>
          <w:color w:val="000000" w:themeColor="text1"/>
        </w:rPr>
        <w:t>)</w:t>
      </w:r>
      <w:r w:rsidR="00476DA1" w:rsidRPr="00940517">
        <w:rPr>
          <w:rFonts w:cs="Arial"/>
          <w:color w:val="000000" w:themeColor="text1"/>
        </w:rPr>
        <w:t>.</w:t>
      </w:r>
    </w:p>
    <w:p w14:paraId="3B6C9C06" w14:textId="0A33D48D" w:rsidR="00EC240B" w:rsidRPr="00940517" w:rsidRDefault="00EC240B" w:rsidP="00EC240B">
      <w:pPr>
        <w:spacing w:before="240" w:after="240"/>
        <w:rPr>
          <w:rFonts w:cs="Arial"/>
        </w:rPr>
      </w:pPr>
      <w:r w:rsidRPr="00940517">
        <w:rPr>
          <w:rFonts w:cs="Arial"/>
        </w:rPr>
        <w:t>At the January 2021 SBE meeting, the CDE submitted revisions to the ESSA Consolidated State Plan (via the COVID-19 State Plan Addendum) to request that the CCI not be reported on the 2021 Dashboard due to the suspension of the CAASPP in March 2020, which is one of the key</w:t>
      </w:r>
      <w:r w:rsidR="00CC3852" w:rsidRPr="00940517">
        <w:rPr>
          <w:rFonts w:cs="Arial"/>
        </w:rPr>
        <w:t xml:space="preserve"> </w:t>
      </w:r>
      <w:r w:rsidRPr="00940517">
        <w:rPr>
          <w:rFonts w:cs="Arial"/>
        </w:rPr>
        <w:t>measures in the CCI. (</w:t>
      </w:r>
      <w:hyperlink r:id="rId74" w:tooltip="https://www.cde.ca.gov/be/ag/ag/yr21/documents/jan21item04.docx" w:history="1">
        <w:r w:rsidRPr="00940517">
          <w:rPr>
            <w:rStyle w:val="Hyperlink"/>
            <w:rFonts w:eastAsiaTheme="majorEastAsia" w:cs="Arial"/>
          </w:rPr>
          <w:t>https://www.cde.ca.gov/be/ag/ag/yr21/documents/jan21item04.docx</w:t>
        </w:r>
      </w:hyperlink>
      <w:r w:rsidRPr="00940517">
        <w:rPr>
          <w:rFonts w:cs="Arial"/>
        </w:rPr>
        <w:t>)</w:t>
      </w:r>
      <w:r w:rsidR="00476DA1" w:rsidRPr="00940517">
        <w:rPr>
          <w:rFonts w:cs="Arial"/>
        </w:rPr>
        <w:t>.</w:t>
      </w:r>
    </w:p>
    <w:p w14:paraId="50AA62F4" w14:textId="1EBCC533" w:rsidR="00EC240B" w:rsidRPr="00940517" w:rsidRDefault="00EC240B" w:rsidP="00EC240B">
      <w:pPr>
        <w:rPr>
          <w:rFonts w:cs="Arial"/>
        </w:rPr>
      </w:pPr>
      <w:r w:rsidRPr="00940517">
        <w:t xml:space="preserve">At the May 2021 SBE meeting, the CDE reviewed the </w:t>
      </w:r>
      <w:r w:rsidRPr="00940517">
        <w:rPr>
          <w:rFonts w:eastAsiaTheme="majorEastAsia"/>
        </w:rPr>
        <w:t xml:space="preserve">work conducted thus far on two new measures for possible inclusion in the CCI: civic engagement and industry certifications. The CDE also proposed the production of </w:t>
      </w:r>
      <w:r w:rsidRPr="00940517">
        <w:t>student-level data files for the CCI that can be shared with authorized LEA staff.</w:t>
      </w:r>
      <w:r w:rsidRPr="00940517">
        <w:rPr>
          <w:rFonts w:cs="Arial"/>
        </w:rPr>
        <w:t xml:space="preserve"> (</w:t>
      </w:r>
      <w:hyperlink r:id="rId75" w:tooltip="https://www.cde.ca.gov/be/ag/ag/yr21/documents/may21item04.docx" w:history="1">
        <w:r w:rsidRPr="00940517">
          <w:rPr>
            <w:rStyle w:val="Hyperlink"/>
            <w:rFonts w:eastAsiaTheme="majorEastAsia" w:cs="Arial"/>
          </w:rPr>
          <w:t>https://www.cde.ca.gov/be/ag/ag/yr21/documents/may21item04.docx</w:t>
        </w:r>
      </w:hyperlink>
      <w:r w:rsidRPr="00940517">
        <w:rPr>
          <w:rFonts w:cs="Arial"/>
        </w:rPr>
        <w:t>)</w:t>
      </w:r>
      <w:r w:rsidR="00476DA1" w:rsidRPr="00940517">
        <w:rPr>
          <w:rFonts w:cs="Arial"/>
        </w:rPr>
        <w:t>.</w:t>
      </w:r>
    </w:p>
    <w:p w14:paraId="5BC14B5A" w14:textId="387D8CF4" w:rsidR="00B11604" w:rsidRPr="00940517" w:rsidRDefault="6858B754" w:rsidP="00476DA1">
      <w:pPr>
        <w:pStyle w:val="Heading3"/>
      </w:pPr>
      <w:r w:rsidRPr="00940517">
        <w:t>English Learner Progress</w:t>
      </w:r>
      <w:r w:rsidR="5A07F149" w:rsidRPr="00940517">
        <w:t xml:space="preserve"> Indicator</w:t>
      </w:r>
    </w:p>
    <w:p w14:paraId="597C5493" w14:textId="372371F7" w:rsidR="00B11604" w:rsidRPr="00940517" w:rsidRDefault="382209D6" w:rsidP="5A459D67">
      <w:pPr>
        <w:spacing w:after="240"/>
      </w:pPr>
      <w:r w:rsidRPr="00940517">
        <w:rPr>
          <w:rFonts w:eastAsia="Arial" w:cs="Arial"/>
        </w:rPr>
        <w:t>In September 2016, the SBE adopted the methodology for the E</w:t>
      </w:r>
      <w:r w:rsidR="002A0A33" w:rsidRPr="00940517">
        <w:rPr>
          <w:rFonts w:eastAsia="Arial" w:cs="Arial"/>
        </w:rPr>
        <w:t xml:space="preserve">nglish </w:t>
      </w:r>
      <w:r w:rsidRPr="00940517">
        <w:rPr>
          <w:rFonts w:eastAsia="Arial" w:cs="Arial"/>
        </w:rPr>
        <w:t>L</w:t>
      </w:r>
      <w:r w:rsidR="002A0A33" w:rsidRPr="00940517">
        <w:rPr>
          <w:rFonts w:eastAsia="Arial" w:cs="Arial"/>
        </w:rPr>
        <w:t xml:space="preserve">earner </w:t>
      </w:r>
      <w:r w:rsidRPr="00940517">
        <w:rPr>
          <w:rFonts w:eastAsia="Arial" w:cs="Arial"/>
        </w:rPr>
        <w:t>P</w:t>
      </w:r>
      <w:r w:rsidR="002A0A33" w:rsidRPr="00940517">
        <w:rPr>
          <w:rFonts w:eastAsia="Arial" w:cs="Arial"/>
        </w:rPr>
        <w:t xml:space="preserve">rogress </w:t>
      </w:r>
      <w:r w:rsidRPr="00940517">
        <w:rPr>
          <w:rFonts w:eastAsia="Arial" w:cs="Arial"/>
        </w:rPr>
        <w:t>I</w:t>
      </w:r>
      <w:r w:rsidR="002A0A33" w:rsidRPr="00940517">
        <w:rPr>
          <w:rFonts w:eastAsia="Arial" w:cs="Arial"/>
        </w:rPr>
        <w:t>ndicator (ELPI)</w:t>
      </w:r>
      <w:r w:rsidRPr="00940517">
        <w:rPr>
          <w:rFonts w:eastAsia="Arial" w:cs="Arial"/>
        </w:rPr>
        <w:t xml:space="preserve"> using the results of the California English Language Development Test (</w:t>
      </w:r>
      <w:hyperlink r:id="rId76" w:tooltip="https://www.cde.ca.gov/be/ag/ag/yr16/documents/sep16item01.doc">
        <w:r w:rsidRPr="00940517">
          <w:rPr>
            <w:rStyle w:val="Hyperlink"/>
            <w:rFonts w:eastAsia="Arial" w:cs="Arial"/>
          </w:rPr>
          <w:t>https://www.cde.ca.gov/be/ag/ag/yr16/documents/sep16item01.doc</w:t>
        </w:r>
      </w:hyperlink>
      <w:r w:rsidRPr="00940517">
        <w:rPr>
          <w:rFonts w:eastAsia="Arial" w:cs="Arial"/>
        </w:rPr>
        <w:t>).</w:t>
      </w:r>
    </w:p>
    <w:p w14:paraId="44667C18" w14:textId="7B5A8BE2" w:rsidR="00B11604" w:rsidRPr="00940517" w:rsidRDefault="382209D6" w:rsidP="5A459D67">
      <w:pPr>
        <w:spacing w:after="240"/>
      </w:pPr>
      <w:r w:rsidRPr="00940517">
        <w:rPr>
          <w:rFonts w:eastAsia="Arial" w:cs="Arial"/>
        </w:rPr>
        <w:t>In July 2018, the SBE adopted the CDE’s recommendation for the ELPI three</w:t>
      </w:r>
      <w:r w:rsidR="68CEE7F1" w:rsidRPr="00940517">
        <w:rPr>
          <w:rFonts w:eastAsia="Arial" w:cs="Arial"/>
        </w:rPr>
        <w:t>-</w:t>
      </w:r>
      <w:r w:rsidRPr="00940517">
        <w:rPr>
          <w:rFonts w:eastAsia="Arial" w:cs="Arial"/>
        </w:rPr>
        <w:t>year plan (</w:t>
      </w:r>
      <w:hyperlink r:id="rId77" w:tooltip="https://www.cde.ca.gov/be/ag/ag/yr18/documents/jul18item01.docx">
        <w:r w:rsidRPr="00940517">
          <w:rPr>
            <w:rStyle w:val="Hyperlink"/>
            <w:rFonts w:eastAsia="Arial" w:cs="Arial"/>
          </w:rPr>
          <w:t>https://www.cde.ca.gov/be/ag/ag/yr18/documents/jul18item01.docx</w:t>
        </w:r>
      </w:hyperlink>
      <w:r w:rsidRPr="00940517">
        <w:rPr>
          <w:rFonts w:eastAsia="Arial" w:cs="Arial"/>
        </w:rPr>
        <w:t xml:space="preserve">). </w:t>
      </w:r>
    </w:p>
    <w:p w14:paraId="254A4278" w14:textId="1AEDF4C1" w:rsidR="00B11604" w:rsidRPr="00940517" w:rsidRDefault="382209D6" w:rsidP="5A459D67">
      <w:pPr>
        <w:tabs>
          <w:tab w:val="left" w:pos="450"/>
        </w:tabs>
        <w:spacing w:after="240"/>
      </w:pPr>
      <w:r w:rsidRPr="00940517">
        <w:rPr>
          <w:rFonts w:eastAsia="Arial" w:cs="Arial"/>
        </w:rPr>
        <w:t>In November, 2018, the SBE approved the use of the ELPI Status for 2019 Local Control Funding Formula differentiated assistance and Every Student Succeeds Act (ESSA) school assistance eligibility determinations (</w:t>
      </w:r>
      <w:hyperlink r:id="rId78" w:tooltip="https://www.cde.ca.gov/be/ag/ag/yr18/documents/nov18item04.docx">
        <w:r w:rsidRPr="00940517">
          <w:rPr>
            <w:rStyle w:val="Hyperlink"/>
            <w:rFonts w:eastAsia="Arial" w:cs="Arial"/>
          </w:rPr>
          <w:t>https://www.cde.ca.gov/be/ag/ag/yr18/documents/nov18item04.docx</w:t>
        </w:r>
      </w:hyperlink>
      <w:r w:rsidRPr="00940517">
        <w:rPr>
          <w:rFonts w:eastAsia="Arial" w:cs="Arial"/>
        </w:rPr>
        <w:t>).</w:t>
      </w:r>
    </w:p>
    <w:p w14:paraId="2CED68C9" w14:textId="1300C0C4" w:rsidR="00B11604" w:rsidRPr="00940517" w:rsidRDefault="382209D6" w:rsidP="5A459D67">
      <w:pPr>
        <w:spacing w:after="240"/>
      </w:pPr>
      <w:r w:rsidRPr="00940517">
        <w:rPr>
          <w:rFonts w:eastAsia="Arial" w:cs="Arial"/>
        </w:rPr>
        <w:t>In August 2019, the CDE provided the SBE with an Information Memorandum on the inclusion of E</w:t>
      </w:r>
      <w:r w:rsidR="00022236" w:rsidRPr="00940517">
        <w:rPr>
          <w:rFonts w:eastAsia="Arial" w:cs="Arial"/>
        </w:rPr>
        <w:t xml:space="preserve">nglish </w:t>
      </w:r>
      <w:r w:rsidRPr="00940517">
        <w:rPr>
          <w:rFonts w:eastAsia="Arial" w:cs="Arial"/>
        </w:rPr>
        <w:t>L</w:t>
      </w:r>
      <w:r w:rsidR="00022236" w:rsidRPr="00940517">
        <w:rPr>
          <w:rFonts w:eastAsia="Arial" w:cs="Arial"/>
        </w:rPr>
        <w:t>earner</w:t>
      </w:r>
      <w:r w:rsidRPr="00940517">
        <w:rPr>
          <w:rFonts w:eastAsia="Arial" w:cs="Arial"/>
        </w:rPr>
        <w:t>s</w:t>
      </w:r>
      <w:r w:rsidR="00022236" w:rsidRPr="00940517">
        <w:rPr>
          <w:rFonts w:eastAsia="Arial" w:cs="Arial"/>
        </w:rPr>
        <w:t xml:space="preserve"> (ELs)</w:t>
      </w:r>
      <w:r w:rsidRPr="00940517">
        <w:rPr>
          <w:rFonts w:eastAsia="Arial" w:cs="Arial"/>
        </w:rPr>
        <w:t xml:space="preserve"> in the Academic Indicator, availability of At-Risk and Long-Term English Learner Reports in DataQuest, and the incorporation of the ELPI Status into school and LEA assistance eligibility determinations (</w:t>
      </w:r>
      <w:hyperlink r:id="rId79" w:tooltip="https://www.cde.ca.gov/be/pn/im/documents/memo-pptb-amard-aug19item02.docx">
        <w:r w:rsidRPr="00940517">
          <w:rPr>
            <w:rStyle w:val="Hyperlink"/>
            <w:rFonts w:eastAsia="Arial" w:cs="Arial"/>
          </w:rPr>
          <w:t>https://www.cde.ca.gov/be/pn/im/documents/memo-pptb-amard-aug19item02.docx</w:t>
        </w:r>
      </w:hyperlink>
      <w:r w:rsidRPr="00940517">
        <w:rPr>
          <w:rFonts w:eastAsia="Arial" w:cs="Arial"/>
        </w:rPr>
        <w:t>)</w:t>
      </w:r>
      <w:r w:rsidR="23BD7715" w:rsidRPr="00940517">
        <w:rPr>
          <w:rFonts w:eastAsia="Arial" w:cs="Arial"/>
        </w:rPr>
        <w:t>.</w:t>
      </w:r>
    </w:p>
    <w:p w14:paraId="6791F86E" w14:textId="0CA04F6F" w:rsidR="7726D3BB" w:rsidRPr="00940517" w:rsidRDefault="382209D6" w:rsidP="780A6C06">
      <w:pPr>
        <w:spacing w:after="240"/>
      </w:pPr>
      <w:r w:rsidRPr="00940517">
        <w:rPr>
          <w:rFonts w:eastAsia="Arial" w:cs="Arial"/>
        </w:rPr>
        <w:lastRenderedPageBreak/>
        <w:t>In September 2019, the CDE updated the SBE on the progress and status of developing the ELPI Status methodology for the 2019 Dashboard (</w:t>
      </w:r>
      <w:hyperlink r:id="rId80" w:tooltip="https://www.cde.ca.gov/be/ag/ag/yr19/documents/sep19item01.docx">
        <w:r w:rsidRPr="00940517">
          <w:rPr>
            <w:rStyle w:val="Hyperlink"/>
            <w:rFonts w:eastAsia="Arial" w:cs="Arial"/>
          </w:rPr>
          <w:t>https://www.cde.ca.gov/be/ag/ag/yr19/documents/sep19item01.docx</w:t>
        </w:r>
      </w:hyperlink>
      <w:r w:rsidRPr="00940517">
        <w:rPr>
          <w:rFonts w:eastAsia="Arial" w:cs="Arial"/>
        </w:rPr>
        <w:t>)</w:t>
      </w:r>
      <w:r w:rsidR="714FCFD3" w:rsidRPr="00940517">
        <w:rPr>
          <w:rFonts w:eastAsia="Arial" w:cs="Arial"/>
        </w:rPr>
        <w:t>.</w:t>
      </w:r>
    </w:p>
    <w:p w14:paraId="3964031A" w14:textId="02275339" w:rsidR="4879516D" w:rsidRPr="00940517" w:rsidRDefault="3BFBD8F3" w:rsidP="7726D3BB">
      <w:pPr>
        <w:rPr>
          <w:rFonts w:eastAsia="Arial" w:cs="Arial"/>
        </w:rPr>
      </w:pPr>
      <w:r w:rsidRPr="00940517">
        <w:rPr>
          <w:rFonts w:eastAsia="Arial" w:cs="Arial"/>
        </w:rPr>
        <w:t>In November 2019, the SBE approved</w:t>
      </w:r>
      <w:r w:rsidR="4E4E8C02" w:rsidRPr="00940517">
        <w:rPr>
          <w:rFonts w:eastAsia="Arial" w:cs="Arial"/>
        </w:rPr>
        <w:t>: (1) the methodology and cut scores for ELPI Status by splitting levels 2 and 3 of the English Learner Proficiency Assessments for California (ELPAC) Summative Assessment thereby creating six ELPI levels based on the ELPAC, and (2) use the “Very Low” Status to determine LEA and school eligibility for support (</w:t>
      </w:r>
      <w:hyperlink r:id="rId81" w:tooltip="https://www.cde.ca.gov/be/ag/ag/yr19/documents/nov19item04.docx">
        <w:r w:rsidR="6F3692AF" w:rsidRPr="00940517">
          <w:rPr>
            <w:rStyle w:val="Hyperlink"/>
            <w:rFonts w:eastAsia="Arial" w:cs="Arial"/>
          </w:rPr>
          <w:t>https://www.cde.ca.gov/be/ag/ag/yr19/documents/nov19item04.docx</w:t>
        </w:r>
      </w:hyperlink>
      <w:r w:rsidR="6F3692AF" w:rsidRPr="00940517">
        <w:rPr>
          <w:rFonts w:eastAsia="Arial" w:cs="Arial"/>
        </w:rPr>
        <w:t>).</w:t>
      </w:r>
    </w:p>
    <w:p w14:paraId="24550856" w14:textId="694F5E21" w:rsidR="0043382D" w:rsidRPr="00940517" w:rsidRDefault="0043382D" w:rsidP="0088252F">
      <w:pPr>
        <w:pStyle w:val="Heading3"/>
      </w:pPr>
      <w:r w:rsidRPr="00940517">
        <w:t>Graduation Rate Indicator</w:t>
      </w:r>
    </w:p>
    <w:p w14:paraId="162465FC" w14:textId="46973332" w:rsidR="00EA5F03" w:rsidRPr="00940517" w:rsidRDefault="00EA5F03" w:rsidP="000B4B28">
      <w:pPr>
        <w:spacing w:after="240"/>
      </w:pPr>
      <w:r w:rsidRPr="00940517">
        <w:t xml:space="preserve">In May 2016, the </w:t>
      </w:r>
      <w:r w:rsidR="008F4414" w:rsidRPr="00940517">
        <w:t>SBE approved the Graduation Rate as a state indicator. (</w:t>
      </w:r>
      <w:hyperlink r:id="rId82" w:tooltip="https://www.cde.ca.gov/be/ag/ag/yr16/documents/may16item02revised.doc" w:history="1">
        <w:r w:rsidR="008F4414" w:rsidRPr="00940517">
          <w:rPr>
            <w:rStyle w:val="Hyperlink"/>
          </w:rPr>
          <w:t>https://www.cde.ca.gov/be/ag/ag/yr16/documents/may16item02revised.doc</w:t>
        </w:r>
      </w:hyperlink>
      <w:r w:rsidR="008F4414" w:rsidRPr="00940517">
        <w:t>)</w:t>
      </w:r>
    </w:p>
    <w:p w14:paraId="255379ED" w14:textId="2A54C270" w:rsidR="000B4B28" w:rsidRPr="00940517" w:rsidRDefault="000B4B28" w:rsidP="000B4B28">
      <w:pPr>
        <w:spacing w:after="240"/>
      </w:pPr>
      <w:r w:rsidRPr="00940517">
        <w:t>In September 2016, the SBE approved Status and Change cut scores for the Graduation Rate Indicator, based on the four-year graduation cohort. (</w:t>
      </w:r>
      <w:hyperlink r:id="rId83" w:tooltip="https://www.cde.ca.gov/be/ag/ag/yr16/documents/sep16item01.doc" w:history="1">
        <w:r w:rsidRPr="00940517">
          <w:rPr>
            <w:rStyle w:val="Hyperlink"/>
          </w:rPr>
          <w:t>https://www.cde.ca.gov/be/ag/ag/yr16/documents/sep16item01.doc</w:t>
        </w:r>
      </w:hyperlink>
      <w:r w:rsidRPr="00940517">
        <w:t>)</w:t>
      </w:r>
    </w:p>
    <w:p w14:paraId="0E793EB6" w14:textId="4D1AB9A9" w:rsidR="000B4B28" w:rsidRPr="00940517" w:rsidRDefault="000B4B28" w:rsidP="000B4B28">
      <w:pPr>
        <w:spacing w:after="240"/>
      </w:pPr>
      <w:r w:rsidRPr="00940517">
        <w:t>In March 2018, the SBE reviewed proposed revisions for the 2018 Dashboard, including the incorporation of modified methods for schools with Dashboard Alternative School Status. (</w:t>
      </w:r>
      <w:hyperlink r:id="rId84" w:tooltip="https://www.cde.ca.gov/be/ag/ag/yr18/documents/mar18item01.docx" w:history="1">
        <w:r w:rsidRPr="00940517">
          <w:rPr>
            <w:rStyle w:val="Hyperlink"/>
          </w:rPr>
          <w:t>https://www.cde.ca.gov/be/ag/ag/yr18/documents/mar18item01.docx</w:t>
        </w:r>
      </w:hyperlink>
      <w:r w:rsidRPr="00940517">
        <w:t>)</w:t>
      </w:r>
    </w:p>
    <w:p w14:paraId="5C6775C7" w14:textId="77B119B6" w:rsidR="000B4B28" w:rsidRPr="00940517" w:rsidRDefault="000B4B28" w:rsidP="000B4B28">
      <w:pPr>
        <w:spacing w:after="240"/>
        <w:rPr>
          <w:rFonts w:cs="Arial"/>
        </w:rPr>
      </w:pPr>
      <w:r w:rsidRPr="00940517">
        <w:rPr>
          <w:rFonts w:cs="Arial"/>
        </w:rPr>
        <w:t>In May 2018, the SBE approved methodology for calculating the one-year graduation rate. (</w:t>
      </w:r>
      <w:hyperlink r:id="rId85" w:tooltip="https://www.cde.ca.gov/be/ag/ag/yr18/documents/may18item02.docx" w:history="1">
        <w:r w:rsidRPr="00940517">
          <w:rPr>
            <w:rStyle w:val="Hyperlink"/>
            <w:rFonts w:eastAsiaTheme="majorEastAsia" w:cs="Arial"/>
          </w:rPr>
          <w:t>https://www.cde.ca.gov/be/ag/ag/yr18/documents/may18item02.docx</w:t>
        </w:r>
      </w:hyperlink>
      <w:r w:rsidRPr="00940517">
        <w:rPr>
          <w:rFonts w:cs="Arial"/>
        </w:rPr>
        <w:t>)</w:t>
      </w:r>
    </w:p>
    <w:p w14:paraId="081E2CD6" w14:textId="369D0E6A" w:rsidR="000B4B28" w:rsidRPr="00940517" w:rsidRDefault="000B4B28" w:rsidP="000B4B28">
      <w:pPr>
        <w:spacing w:after="240"/>
      </w:pPr>
      <w:r w:rsidRPr="00940517">
        <w:t>In June 2018, the SBE received an Information Memorandum on the revisions made to the calculation of the four-year cohort graduation rate to address audit findings from the U.S. Department of Education (ED) Office of Inspector General (OIG). (</w:t>
      </w:r>
      <w:hyperlink r:id="rId86" w:tooltip="https://www.cde.ca.gov/be/pn/im/documents/memo-pptb-amard-jun18item02.docx" w:history="1">
        <w:r w:rsidRPr="00940517">
          <w:rPr>
            <w:rStyle w:val="Hyperlink"/>
          </w:rPr>
          <w:t>https://www.cde.ca.gov/be/pn/im/documents/memo-pptb-amard-jun18item02.docx</w:t>
        </w:r>
      </w:hyperlink>
      <w:r w:rsidRPr="00940517">
        <w:t>)</w:t>
      </w:r>
    </w:p>
    <w:p w14:paraId="08AAC38B" w14:textId="4F283491" w:rsidR="000B4B28" w:rsidRPr="00940517" w:rsidRDefault="000B4B28" w:rsidP="000B4B28">
      <w:pPr>
        <w:spacing w:after="240"/>
      </w:pPr>
      <w:r w:rsidRPr="00940517">
        <w:t xml:space="preserve">In August 2018, the SBE received an Information Memorandum on the proposed Status and Change Cut scores for the one-year graduation rate for DASS schools. </w:t>
      </w:r>
      <w:r w:rsidRPr="00940517">
        <w:br/>
        <w:t>(</w:t>
      </w:r>
      <w:hyperlink r:id="rId87" w:tooltip="https://www.cde.ca.gov/be/pn/im/documents/memo-pptb-amard-aug18item02.docx" w:history="1">
        <w:r w:rsidRPr="00940517">
          <w:rPr>
            <w:rStyle w:val="Hyperlink"/>
          </w:rPr>
          <w:t>https://www.cde.ca.gov/be/pn/im/documents/memo-pptb-amard-aug18item02.docx</w:t>
        </w:r>
      </w:hyperlink>
      <w:r w:rsidRPr="00940517">
        <w:t>)</w:t>
      </w:r>
    </w:p>
    <w:p w14:paraId="566EC966" w14:textId="2AD0C618" w:rsidR="00ED1D45" w:rsidRPr="00940517" w:rsidRDefault="000B4B28" w:rsidP="000B4B28">
      <w:pPr>
        <w:spacing w:after="240"/>
      </w:pPr>
      <w:r w:rsidRPr="00940517">
        <w:t>In September 2018, the SBE approved Status and Change cut scores for the one-year graduation rate for DASS schools. (</w:t>
      </w:r>
      <w:hyperlink r:id="rId88" w:tooltip="https://www.cde.ca.gov/be/ag/ag/yr18/documents/sep18item01.docx" w:history="1">
        <w:r w:rsidRPr="00940517">
          <w:rPr>
            <w:rStyle w:val="Hyperlink"/>
          </w:rPr>
          <w:t>https://www.cde.ca.gov/be/ag/ag/yr18/documents/sep18item01.docx</w:t>
        </w:r>
      </w:hyperlink>
      <w:r w:rsidRPr="00940517">
        <w:t>)</w:t>
      </w:r>
    </w:p>
    <w:p w14:paraId="13E8350C" w14:textId="50A69A72" w:rsidR="00982992" w:rsidRPr="00940517" w:rsidRDefault="00982992" w:rsidP="00982992">
      <w:pPr>
        <w:spacing w:after="240"/>
      </w:pPr>
      <w:r w:rsidRPr="00940517">
        <w:rPr>
          <w:rFonts w:cs="Arial"/>
        </w:rPr>
        <w:t>In November 2018, the SBE approved modification to the Status cut scores for the Graduation Rate Indicator based on the inclusion of DASS schools for the first time within the calculation of the indicator and business rule changes to the calculation of the four-year cohort graduation rate based on audit findings from the ED OIG. (</w:t>
      </w:r>
      <w:hyperlink r:id="rId89" w:tooltip="https://www.cde.ca.gov/be/ag/ag/yr18/documents/nov18item04.docx" w:history="1">
        <w:r w:rsidRPr="00940517">
          <w:rPr>
            <w:rStyle w:val="Hyperlink"/>
            <w:rFonts w:cs="Arial"/>
          </w:rPr>
          <w:t>https://www.cde.ca.gov/be/ag/ag/yr18/documents/nov18item04.docx</w:t>
        </w:r>
      </w:hyperlink>
      <w:r w:rsidRPr="00940517">
        <w:rPr>
          <w:rFonts w:cs="Arial"/>
        </w:rPr>
        <w:t>)</w:t>
      </w:r>
    </w:p>
    <w:p w14:paraId="5E1C1BB2" w14:textId="573BB629" w:rsidR="00891D6D" w:rsidRPr="00940517" w:rsidRDefault="00891D6D" w:rsidP="000B4B28">
      <w:pPr>
        <w:spacing w:after="240"/>
        <w:rPr>
          <w:color w:val="000000"/>
        </w:rPr>
      </w:pPr>
      <w:r w:rsidRPr="00940517">
        <w:lastRenderedPageBreak/>
        <w:t>In July 2019, the SBE approved the implementation of the combined graduation rate for all comprehensive non-DASS high schools.  (</w:t>
      </w:r>
      <w:hyperlink r:id="rId90" w:tooltip="https://www.cde.ca.gov/be/ag/ag/yr19/documents/jul19item01.docx" w:history="1">
        <w:r w:rsidRPr="00940517">
          <w:rPr>
            <w:rStyle w:val="Hyperlink"/>
          </w:rPr>
          <w:t>https://www.cde.ca.gov/be/ag/ag/yr19/documents/jul19item01.docx</w:t>
        </w:r>
      </w:hyperlink>
      <w:r w:rsidRPr="00940517">
        <w:rPr>
          <w:color w:val="000000"/>
        </w:rPr>
        <w:t>)</w:t>
      </w:r>
    </w:p>
    <w:p w14:paraId="17FE59B6" w14:textId="68339801" w:rsidR="00891D6D" w:rsidRPr="00940517" w:rsidRDefault="00891D6D" w:rsidP="000B4B28">
      <w:pPr>
        <w:spacing w:after="240"/>
        <w:rPr>
          <w:color w:val="000000"/>
        </w:rPr>
      </w:pPr>
      <w:r w:rsidRPr="00940517">
        <w:rPr>
          <w:color w:val="000000"/>
        </w:rPr>
        <w:t xml:space="preserve">In September 2019, the SBE approved raising the Very Low Status level from “below  67 percent” to “below 68 percent” due to the addition of fifth-year graduates increasing the graduation rates. </w:t>
      </w:r>
      <w:r w:rsidR="00D16458" w:rsidRPr="00940517">
        <w:rPr>
          <w:color w:val="000000"/>
        </w:rPr>
        <w:t>(</w:t>
      </w:r>
      <w:hyperlink r:id="rId91" w:tooltip="https://www.cde.ca.gov/be/ag/ag/yr19/documents/sep19item01.docx" w:history="1">
        <w:r w:rsidR="00D16458" w:rsidRPr="00940517">
          <w:rPr>
            <w:rStyle w:val="Hyperlink"/>
          </w:rPr>
          <w:t>https://www.cde.ca.gov/be/ag/ag/yr19/documents/sep19item01.docx</w:t>
        </w:r>
      </w:hyperlink>
      <w:r w:rsidR="00D16458" w:rsidRPr="00940517">
        <w:rPr>
          <w:color w:val="000000"/>
        </w:rPr>
        <w:t>)</w:t>
      </w:r>
    </w:p>
    <w:p w14:paraId="42B49F02" w14:textId="410A5B97" w:rsidR="00891D6D" w:rsidRPr="00940517" w:rsidRDefault="00891D6D" w:rsidP="000B4B28">
      <w:pPr>
        <w:spacing w:after="240"/>
        <w:rPr>
          <w:color w:val="000000"/>
        </w:rPr>
      </w:pPr>
      <w:r w:rsidRPr="00940517">
        <w:rPr>
          <w:color w:val="000000"/>
        </w:rPr>
        <w:t xml:space="preserve">In November 2019, </w:t>
      </w:r>
      <w:r w:rsidR="00D16458" w:rsidRPr="00940517">
        <w:rPr>
          <w:color w:val="000000"/>
        </w:rPr>
        <w:t xml:space="preserve">with the long-term goal increasing to 90.5 percent from 90 percent as required via the federal ESSA State Plan, </w:t>
      </w:r>
      <w:r w:rsidRPr="00940517">
        <w:rPr>
          <w:color w:val="000000"/>
        </w:rPr>
        <w:t>the SBE approved the revisions to the High and Medium Status cut scores for comprehensive non-DASS high schools and the High and Very High Status cut scores for DASS schools</w:t>
      </w:r>
      <w:r w:rsidR="00D16458" w:rsidRPr="00940517">
        <w:rPr>
          <w:color w:val="000000"/>
        </w:rPr>
        <w:t>. (</w:t>
      </w:r>
      <w:hyperlink r:id="rId92" w:tooltip="https://www.cde.ca.gov/be/ag/ag/yr19/documents/nov19item05rev.docx" w:history="1">
        <w:r w:rsidR="00D16458" w:rsidRPr="00940517">
          <w:rPr>
            <w:rStyle w:val="Hyperlink"/>
          </w:rPr>
          <w:t>https://www.cde.ca.gov/be/ag/ag/yr19/documents/nov19item05rev.docx</w:t>
        </w:r>
      </w:hyperlink>
      <w:r w:rsidR="00D16458" w:rsidRPr="00940517">
        <w:rPr>
          <w:color w:val="000000"/>
        </w:rPr>
        <w:t>)</w:t>
      </w:r>
    </w:p>
    <w:p w14:paraId="290E4881" w14:textId="1D91013C" w:rsidR="0043382D" w:rsidRPr="00940517" w:rsidRDefault="0043382D" w:rsidP="0088252F">
      <w:pPr>
        <w:pStyle w:val="Heading3"/>
      </w:pPr>
      <w:r w:rsidRPr="00940517">
        <w:t>Suspension Rate Indicator</w:t>
      </w:r>
    </w:p>
    <w:p w14:paraId="561F19CD" w14:textId="30F4C715" w:rsidR="008F4414" w:rsidRPr="00940517" w:rsidRDefault="008F4414" w:rsidP="00FA6FD0">
      <w:pPr>
        <w:spacing w:after="240"/>
      </w:pPr>
      <w:r w:rsidRPr="00940517">
        <w:t>In May 2016, the SBE approved the Suspension Rate Indicator as a state indicator. This indicator will be differentiated through grade spans as the rates vary significantly by elementary, middle, and high levels.  (</w:t>
      </w:r>
      <w:hyperlink r:id="rId93" w:tooltip="https://www.cde.ca.gov/be/ag/ag/yr16/documents/may16item02revised.doc" w:history="1">
        <w:r w:rsidRPr="00940517">
          <w:rPr>
            <w:rStyle w:val="Hyperlink"/>
          </w:rPr>
          <w:t>https://www.cde.ca.gov/be/ag/ag/yr16/documents/may16item02revised.doc</w:t>
        </w:r>
      </w:hyperlink>
      <w:r w:rsidRPr="00940517">
        <w:t>)</w:t>
      </w:r>
    </w:p>
    <w:p w14:paraId="47A630BD" w14:textId="0497F8A3" w:rsidR="008F4414" w:rsidRPr="00940517" w:rsidRDefault="00C56820" w:rsidP="00982992">
      <w:r w:rsidRPr="00940517">
        <w:t xml:space="preserve">In September 2016, the SBE approved the </w:t>
      </w:r>
      <w:r w:rsidR="004C0313" w:rsidRPr="00940517">
        <w:t>cut scores for Status and Change based on LEA type (elementary, high, and unified), and by school type (elementary, middle, and high). (</w:t>
      </w:r>
      <w:hyperlink r:id="rId94" w:tooltip="https://www.cde.ca.gov/be/ag/ag/yr16/documents/sep16item01.doc" w:history="1">
        <w:r w:rsidR="004C0313" w:rsidRPr="00940517">
          <w:rPr>
            <w:rStyle w:val="Hyperlink"/>
          </w:rPr>
          <w:t>https://www.cde.ca.gov/be/ag/ag/yr16/documents/sep16item01.doc</w:t>
        </w:r>
      </w:hyperlink>
      <w:r w:rsidR="004C0313" w:rsidRPr="00940517">
        <w:t>)</w:t>
      </w:r>
    </w:p>
    <w:p w14:paraId="6438F676" w14:textId="48D8324B" w:rsidR="007B2CD9" w:rsidRPr="00940517" w:rsidRDefault="0088252F" w:rsidP="0088252F">
      <w:pPr>
        <w:pStyle w:val="Heading3"/>
      </w:pPr>
      <w:r w:rsidRPr="00940517">
        <w:t>Dashboard Alternative School Statu</w:t>
      </w:r>
      <w:r w:rsidR="007B2CD9" w:rsidRPr="00940517">
        <w:t>s</w:t>
      </w:r>
    </w:p>
    <w:p w14:paraId="0920EDBE" w14:textId="71668949" w:rsidR="0043382D" w:rsidRPr="00940517" w:rsidRDefault="0043382D" w:rsidP="006C5887">
      <w:pPr>
        <w:spacing w:after="240"/>
      </w:pPr>
      <w:r w:rsidRPr="00940517">
        <w:t>In January 2021, the SBE approved and update to California’s ESSA Plan to use modified methods for DASS for the Academic and Graduation Rate Indicators. The item also provided an overview of the COVID-19 State Plan Addendum, which is a streamlined process offered by ED for use in the 2020–21 school year in response to the COVID-19 waivers approved by ED in March 2020. (</w:t>
      </w:r>
      <w:hyperlink r:id="rId95" w:tooltip="https://www.cde.ca.gov/be/ag/ag/yr21/documents/jan21item04.docx" w:history="1">
        <w:r w:rsidRPr="00940517">
          <w:rPr>
            <w:rStyle w:val="Hyperlink"/>
          </w:rPr>
          <w:t>https://www.cde.ca.gov/be/ag/ag/yr21/documents/jan21item04.docx</w:t>
        </w:r>
      </w:hyperlink>
      <w:r w:rsidRPr="00940517">
        <w:t xml:space="preserve">) </w:t>
      </w:r>
    </w:p>
    <w:p w14:paraId="007CDD19" w14:textId="786A6540" w:rsidR="006C5887" w:rsidRPr="00940517" w:rsidRDefault="2393B235" w:rsidP="006C5887">
      <w:r w:rsidRPr="00940517">
        <w:t>In February 2022, the CDE presented the SBE with an Information Memorandum, which provided information on the letter from ED that denied the State Plan amendments related to clarifying the DASS program (</w:t>
      </w:r>
      <w:hyperlink r:id="rId96">
        <w:r w:rsidRPr="00940517">
          <w:rPr>
            <w:rStyle w:val="Hyperlink"/>
          </w:rPr>
          <w:t>https://www.cde.ca.gov/be/pn/im/documents/feb22memogad01.docx</w:t>
        </w:r>
      </w:hyperlink>
      <w:r w:rsidRPr="00940517">
        <w:t>).</w:t>
      </w:r>
    </w:p>
    <w:p w14:paraId="7692F6EE" w14:textId="722733D5" w:rsidR="0088252F" w:rsidRPr="00940517" w:rsidRDefault="0088252F" w:rsidP="007B2CD9">
      <w:pPr>
        <w:pStyle w:val="Heading4"/>
      </w:pPr>
      <w:r w:rsidRPr="00940517">
        <w:t>Reporting of Enrollment Data</w:t>
      </w:r>
    </w:p>
    <w:p w14:paraId="7F17F34E" w14:textId="6DBE50EB" w:rsidR="0088252F" w:rsidRPr="00940517" w:rsidRDefault="0088252F" w:rsidP="0088252F">
      <w:pPr>
        <w:spacing w:after="240"/>
      </w:pPr>
      <w:r w:rsidRPr="00940517">
        <w:rPr>
          <w:rFonts w:eastAsia="Arial" w:cs="Arial"/>
          <w:color w:val="000000" w:themeColor="text1"/>
        </w:rPr>
        <w:t>In July 2017, the SBE approved criteria for schools to apply for D</w:t>
      </w:r>
      <w:r w:rsidR="00022236" w:rsidRPr="00940517">
        <w:rPr>
          <w:rFonts w:eastAsia="Arial" w:cs="Arial"/>
          <w:color w:val="000000" w:themeColor="text1"/>
        </w:rPr>
        <w:t xml:space="preserve">ashboard </w:t>
      </w:r>
      <w:r w:rsidRPr="00940517">
        <w:rPr>
          <w:rFonts w:eastAsia="Arial" w:cs="Arial"/>
          <w:color w:val="000000" w:themeColor="text1"/>
        </w:rPr>
        <w:t>A</w:t>
      </w:r>
      <w:r w:rsidR="00022236" w:rsidRPr="00940517">
        <w:rPr>
          <w:rFonts w:eastAsia="Arial" w:cs="Arial"/>
          <w:color w:val="000000" w:themeColor="text1"/>
        </w:rPr>
        <w:t xml:space="preserve">lternative </w:t>
      </w:r>
      <w:r w:rsidRPr="00940517">
        <w:rPr>
          <w:rFonts w:eastAsia="Arial" w:cs="Arial"/>
          <w:color w:val="000000" w:themeColor="text1"/>
        </w:rPr>
        <w:t>S</w:t>
      </w:r>
      <w:r w:rsidR="00022236" w:rsidRPr="00940517">
        <w:rPr>
          <w:rFonts w:eastAsia="Arial" w:cs="Arial"/>
          <w:color w:val="000000" w:themeColor="text1"/>
        </w:rPr>
        <w:t xml:space="preserve">chool </w:t>
      </w:r>
      <w:r w:rsidRPr="00940517">
        <w:rPr>
          <w:rFonts w:eastAsia="Arial" w:cs="Arial"/>
          <w:color w:val="000000" w:themeColor="text1"/>
        </w:rPr>
        <w:t>S</w:t>
      </w:r>
      <w:r w:rsidR="00022236" w:rsidRPr="00940517">
        <w:rPr>
          <w:rFonts w:eastAsia="Arial" w:cs="Arial"/>
          <w:color w:val="000000" w:themeColor="text1"/>
        </w:rPr>
        <w:t>tatus (DASS)</w:t>
      </w:r>
      <w:r w:rsidRPr="00940517">
        <w:rPr>
          <w:rFonts w:eastAsia="Arial" w:cs="Arial"/>
          <w:color w:val="000000" w:themeColor="text1"/>
        </w:rPr>
        <w:t xml:space="preserve"> (</w:t>
      </w:r>
      <w:hyperlink r:id="rId97" w:tooltip="https://www.cde.ca.gov/be/ag/ag/yr17/documents/jul17item01.doc">
        <w:r w:rsidRPr="00940517">
          <w:rPr>
            <w:rStyle w:val="Hyperlink"/>
            <w:rFonts w:eastAsia="Arial" w:cs="Arial"/>
          </w:rPr>
          <w:t>https://www.cde.ca.gov/be/ag/ag/yr17/documents/jul17item01.doc</w:t>
        </w:r>
      </w:hyperlink>
      <w:r w:rsidRPr="00940517">
        <w:rPr>
          <w:rFonts w:eastAsia="Arial" w:cs="Arial"/>
          <w:color w:val="000000" w:themeColor="text1"/>
        </w:rPr>
        <w:t>).</w:t>
      </w:r>
    </w:p>
    <w:p w14:paraId="54DDF870" w14:textId="206CB835" w:rsidR="0088252F" w:rsidRPr="00940517" w:rsidRDefault="0088252F" w:rsidP="0088252F">
      <w:pPr>
        <w:spacing w:after="240"/>
      </w:pPr>
      <w:r w:rsidRPr="00940517">
        <w:rPr>
          <w:rFonts w:eastAsia="Arial" w:cs="Arial"/>
          <w:color w:val="000000" w:themeColor="text1"/>
        </w:rPr>
        <w:lastRenderedPageBreak/>
        <w:t>In March 2018, the SBE reviewed proposed revisions for the 2018 Dashboard, including the incorporation of modified methods for DASS schools (</w:t>
      </w:r>
      <w:hyperlink r:id="rId98" w:tooltip="https://www.cde.ca.gov/be/ag/ag/yr18/documents/mar18item01.docx">
        <w:r w:rsidRPr="00940517">
          <w:rPr>
            <w:rStyle w:val="Hyperlink"/>
            <w:rFonts w:eastAsia="Arial" w:cs="Arial"/>
          </w:rPr>
          <w:t>https://www.cde.ca.gov/be/ag/ag/yr18/documents/mar18item01.docx</w:t>
        </w:r>
      </w:hyperlink>
      <w:r w:rsidRPr="00940517">
        <w:rPr>
          <w:rFonts w:eastAsia="Arial" w:cs="Arial"/>
          <w:color w:val="000000" w:themeColor="text1"/>
        </w:rPr>
        <w:t>).</w:t>
      </w:r>
    </w:p>
    <w:p w14:paraId="6290B953" w14:textId="4EA51EC3" w:rsidR="0088252F" w:rsidRPr="00940517" w:rsidRDefault="0088252F" w:rsidP="0088252F">
      <w:pPr>
        <w:spacing w:after="240"/>
      </w:pPr>
      <w:r w:rsidRPr="00940517">
        <w:rPr>
          <w:rFonts w:eastAsia="Arial" w:cs="Arial"/>
          <w:color w:val="000000" w:themeColor="text1"/>
        </w:rPr>
        <w:t>In May 2018, the SBE approved methodology for calculating the one-year graduation rate and directed the CDE</w:t>
      </w:r>
      <w:r w:rsidR="00022236" w:rsidRPr="00940517">
        <w:rPr>
          <w:rFonts w:eastAsia="Arial" w:cs="Arial"/>
          <w:color w:val="000000" w:themeColor="text1"/>
        </w:rPr>
        <w:t xml:space="preserve"> </w:t>
      </w:r>
      <w:r w:rsidRPr="00940517">
        <w:rPr>
          <w:rFonts w:eastAsia="Arial" w:cs="Arial"/>
          <w:color w:val="000000" w:themeColor="text1"/>
        </w:rPr>
        <w:t>to conduct analyses of enrollment data when it became available</w:t>
      </w:r>
      <w:r w:rsidRPr="00940517">
        <w:t xml:space="preserve"> </w:t>
      </w:r>
      <w:r w:rsidRPr="00940517">
        <w:rPr>
          <w:rFonts w:eastAsia="Arial" w:cs="Arial"/>
          <w:color w:val="000000" w:themeColor="text1"/>
        </w:rPr>
        <w:t>(</w:t>
      </w:r>
      <w:hyperlink r:id="rId99" w:tooltip="https://www.cde.ca.gov/be/ag/ag/yr18/documents/may18item02.docx">
        <w:r w:rsidRPr="00940517">
          <w:rPr>
            <w:rStyle w:val="Hyperlink"/>
            <w:rFonts w:eastAsia="Arial" w:cs="Arial"/>
          </w:rPr>
          <w:t>https://www.cde.ca.gov/be/ag/ag/yr18/documents/may18item02.docx</w:t>
        </w:r>
      </w:hyperlink>
      <w:r w:rsidRPr="00940517">
        <w:rPr>
          <w:rFonts w:eastAsia="Arial" w:cs="Arial"/>
          <w:color w:val="000000" w:themeColor="text1"/>
        </w:rPr>
        <w:t>).</w:t>
      </w:r>
    </w:p>
    <w:p w14:paraId="6522A0C8" w14:textId="0F0F037E" w:rsidR="0088252F" w:rsidRPr="00940517" w:rsidRDefault="0088252F" w:rsidP="0088252F">
      <w:pPr>
        <w:spacing w:after="240"/>
        <w:rPr>
          <w:rFonts w:eastAsia="Arial" w:cs="Arial"/>
        </w:rPr>
      </w:pPr>
      <w:r w:rsidRPr="00940517">
        <w:rPr>
          <w:rFonts w:eastAsia="Arial" w:cs="Arial"/>
        </w:rPr>
        <w:t>In August 2019, the CDE presented the SBE with an Information Memorandum, identifying the enrollment data for DASS and non-DASS schools and the rates of transition from non-DASS to DASS schools during the 2017</w:t>
      </w:r>
      <w:r w:rsidRPr="00940517">
        <w:rPr>
          <w:rFonts w:cs="Arial"/>
        </w:rPr>
        <w:t>–</w:t>
      </w:r>
      <w:r w:rsidRPr="00940517">
        <w:rPr>
          <w:rFonts w:eastAsia="Arial" w:cs="Arial"/>
        </w:rPr>
        <w:t>18 and 2018</w:t>
      </w:r>
      <w:r w:rsidRPr="00940517">
        <w:rPr>
          <w:rFonts w:cs="Arial"/>
        </w:rPr>
        <w:t>–</w:t>
      </w:r>
      <w:r w:rsidRPr="00940517">
        <w:rPr>
          <w:rFonts w:eastAsia="Arial" w:cs="Arial"/>
        </w:rPr>
        <w:t>19 school years (</w:t>
      </w:r>
      <w:hyperlink r:id="rId100" w:tooltip="https://www.cde.ca.gov/be/pn/im/documents/memo-pptb-amard-aug19item01.docx" w:history="1">
        <w:r w:rsidRPr="00940517">
          <w:rPr>
            <w:rStyle w:val="Hyperlink"/>
            <w:rFonts w:eastAsia="Arial" w:cs="Arial"/>
          </w:rPr>
          <w:t>https://www.cde.ca.gov/be/pn/im/documents/memo-pptb-amard-aug19item01.docx</w:t>
        </w:r>
      </w:hyperlink>
      <w:r w:rsidRPr="00940517">
        <w:rPr>
          <w:rFonts w:eastAsia="Arial" w:cs="Arial"/>
        </w:rPr>
        <w:t>).</w:t>
      </w:r>
    </w:p>
    <w:p w14:paraId="7C7F0D9E" w14:textId="5D44C620" w:rsidR="0088252F" w:rsidRPr="00940517" w:rsidRDefault="0088252F" w:rsidP="0088252F">
      <w:pPr>
        <w:spacing w:after="240"/>
        <w:rPr>
          <w:rFonts w:eastAsia="Arial" w:cs="Arial"/>
        </w:rPr>
      </w:pPr>
      <w:r w:rsidRPr="00940517">
        <w:rPr>
          <w:rFonts w:eastAsia="Arial" w:cs="Arial"/>
        </w:rPr>
        <w:t xml:space="preserve">In April 2021, the CDE </w:t>
      </w:r>
      <w:r w:rsidRPr="00940517">
        <w:rPr>
          <w:rFonts w:cs="Arial"/>
        </w:rPr>
        <w:t xml:space="preserve">provided a second analysis on the transfer patterns between non-DASS schools and DASS schools and reviewed the impact of the DASS graduation rate on school transfer patterns during the 2017–18, 2018–19, and 2019–20 school years </w:t>
      </w:r>
      <w:r w:rsidRPr="00940517">
        <w:rPr>
          <w:rFonts w:eastAsia="Arial" w:cs="Arial"/>
        </w:rPr>
        <w:t>(</w:t>
      </w:r>
      <w:hyperlink r:id="rId101" w:tooltip="https://www.cde.ca.gov/be/pn/im/documents/apr21memoamard01.docx" w:history="1">
        <w:r w:rsidRPr="00940517">
          <w:rPr>
            <w:rStyle w:val="Hyperlink"/>
            <w:rFonts w:eastAsia="Arial" w:cs="Arial"/>
          </w:rPr>
          <w:t>https://www.cde.ca.gov/be/pn/im/documents/apr21memoamard01.docx</w:t>
        </w:r>
      </w:hyperlink>
      <w:r w:rsidRPr="00940517">
        <w:rPr>
          <w:rFonts w:eastAsia="Arial" w:cs="Arial"/>
        </w:rPr>
        <w:t>).</w:t>
      </w:r>
    </w:p>
    <w:p w14:paraId="313A54FE" w14:textId="7D0A1772" w:rsidR="0088252F" w:rsidRPr="00940517" w:rsidRDefault="007B2CD9" w:rsidP="007B2CD9">
      <w:pPr>
        <w:pStyle w:val="Heading4"/>
      </w:pPr>
      <w:r w:rsidRPr="00940517">
        <w:t>P</w:t>
      </w:r>
      <w:r w:rsidR="0088252F" w:rsidRPr="00940517">
        <w:t>ositive Transition Rate</w:t>
      </w:r>
    </w:p>
    <w:p w14:paraId="25DB7203" w14:textId="34E5107E" w:rsidR="0088252F" w:rsidRPr="00940517" w:rsidRDefault="0088252F" w:rsidP="0088252F">
      <w:pPr>
        <w:spacing w:after="240"/>
        <w:rPr>
          <w:rFonts w:eastAsia="Arial" w:cs="Arial"/>
        </w:rPr>
      </w:pPr>
      <w:r w:rsidRPr="00940517">
        <w:rPr>
          <w:rFonts w:eastAsia="Arial" w:cs="Arial"/>
        </w:rPr>
        <w:t>In November 2020, the SBE received the California Advisory Task Force on Alternative Schools Report and Recommendations, which included the incorporation of a new local indicator into California’s accountability system: positive transition rate. This indicator would apply to DASS schools only and focus on students’ continued path to education in their post-secondary years (</w:t>
      </w:r>
      <w:hyperlink r:id="rId102" w:tooltip="https://www.cde.ca.gov/be/ag/ag/yr20/documents/nov20item06.docx" w:history="1">
        <w:r w:rsidRPr="00940517">
          <w:rPr>
            <w:rStyle w:val="Hyperlink"/>
            <w:rFonts w:eastAsia="Arial" w:cs="Arial"/>
          </w:rPr>
          <w:t>https://www.cde.ca.gov/be/ag/ag/yr20/documents/nov20item06.docx</w:t>
        </w:r>
      </w:hyperlink>
      <w:r w:rsidRPr="00940517">
        <w:rPr>
          <w:rFonts w:eastAsia="Arial" w:cs="Arial"/>
        </w:rPr>
        <w:t>).</w:t>
      </w:r>
    </w:p>
    <w:p w14:paraId="05FF5857" w14:textId="77777777" w:rsidR="007B2CD9" w:rsidRPr="00940517" w:rsidRDefault="007B2CD9" w:rsidP="007B2CD9">
      <w:pPr>
        <w:pStyle w:val="Heading3"/>
      </w:pPr>
      <w:r w:rsidRPr="00940517">
        <w:t>Student Growth Model</w:t>
      </w:r>
    </w:p>
    <w:p w14:paraId="2FECA4C0" w14:textId="0BC05681" w:rsidR="007B2CD9" w:rsidRPr="00940517" w:rsidRDefault="007B2CD9" w:rsidP="007B2CD9">
      <w:pPr>
        <w:spacing w:after="240"/>
        <w:rPr>
          <w:rFonts w:cs="Arial"/>
        </w:rPr>
      </w:pPr>
      <w:r w:rsidRPr="00940517">
        <w:rPr>
          <w:rFonts w:cs="Arial"/>
        </w:rPr>
        <w:t>In a June 2016 Information Memorandum, the CDE provided a progress update and clarified key issues related to the design of a school- and district-level accountability model, as opposed to reporting individual student-level growth and performance (</w:t>
      </w:r>
      <w:hyperlink r:id="rId103" w:tooltip="https://www.cde.ca.gov/be/pn/im/documents/memo-dsib-amard-jun16item01.doc" w:history="1">
        <w:r w:rsidRPr="00940517">
          <w:rPr>
            <w:rFonts w:cs="Arial"/>
            <w:color w:val="0000FF"/>
            <w:u w:val="single"/>
          </w:rPr>
          <w:t>https://www.cde.ca.gov/be/pn/im/documents/memo-dsib-amard-jun16item01.doc</w:t>
        </w:r>
      </w:hyperlink>
      <w:r w:rsidRPr="00940517">
        <w:rPr>
          <w:rFonts w:cs="Arial"/>
          <w:color w:val="0000FF"/>
          <w:u w:val="single"/>
        </w:rPr>
        <w:t>)</w:t>
      </w:r>
      <w:r w:rsidRPr="00940517">
        <w:rPr>
          <w:rFonts w:cs="Arial"/>
        </w:rPr>
        <w:t>.</w:t>
      </w:r>
    </w:p>
    <w:p w14:paraId="2479147F" w14:textId="41592131" w:rsidR="007B2CD9" w:rsidRPr="00940517" w:rsidRDefault="007B2CD9" w:rsidP="007B2CD9">
      <w:pPr>
        <w:spacing w:after="240"/>
        <w:rPr>
          <w:rFonts w:cs="Arial"/>
        </w:rPr>
      </w:pPr>
      <w:r w:rsidRPr="00940517">
        <w:rPr>
          <w:rFonts w:cs="Arial"/>
        </w:rPr>
        <w:t>In February 2016, the SBE received an Information Memorandum that provided an overview of student-level growth models that can be used to communicate Smarter Balanced Summative Assessment results (</w:t>
      </w:r>
      <w:hyperlink r:id="rId104" w:tooltip="https://www.cde.ca.gov/be/pn/im/documents/memo-dsib-amard-feb16item01.doc" w:history="1">
        <w:r w:rsidRPr="00940517">
          <w:rPr>
            <w:rFonts w:cs="Arial"/>
            <w:color w:val="0000FF"/>
            <w:u w:val="single"/>
          </w:rPr>
          <w:t>https://www.cde.ca.gov/be/pn/im/documents/memo-dsib-amard-feb16item01.doc</w:t>
        </w:r>
      </w:hyperlink>
      <w:r w:rsidRPr="00940517">
        <w:rPr>
          <w:rFonts w:cs="Arial"/>
        </w:rPr>
        <w:t>).</w:t>
      </w:r>
    </w:p>
    <w:p w14:paraId="54140F32" w14:textId="3BD9C251" w:rsidR="007B2CD9" w:rsidRPr="00940517" w:rsidRDefault="007B2CD9" w:rsidP="007B2CD9">
      <w:pPr>
        <w:spacing w:after="240"/>
        <w:rPr>
          <w:rFonts w:cs="Arial"/>
        </w:rPr>
      </w:pPr>
      <w:r w:rsidRPr="00940517">
        <w:rPr>
          <w:rFonts w:cs="Arial"/>
        </w:rPr>
        <w:t>In January 2017, the SBE discussed criteria for selecting a growth model used for school and district accountability (</w:t>
      </w:r>
      <w:hyperlink r:id="rId105" w:tooltip="https://www.cde.ca.gov/be/ag/ag/yr17/documents/jan17item02.doc" w:history="1">
        <w:r w:rsidRPr="00940517">
          <w:rPr>
            <w:rFonts w:cs="Arial"/>
            <w:color w:val="0000FF"/>
            <w:u w:val="single"/>
          </w:rPr>
          <w:t>https://www.cde.ca.gov/be/ag/ag/yr17/documents/jan17item02.doc</w:t>
        </w:r>
      </w:hyperlink>
      <w:r w:rsidRPr="00940517">
        <w:rPr>
          <w:rFonts w:cs="Arial"/>
        </w:rPr>
        <w:t>).</w:t>
      </w:r>
    </w:p>
    <w:p w14:paraId="2097E0CF" w14:textId="44134C16" w:rsidR="007B2CD9" w:rsidRPr="00940517" w:rsidRDefault="007B2CD9" w:rsidP="007B2CD9">
      <w:pPr>
        <w:spacing w:after="240"/>
        <w:rPr>
          <w:rFonts w:cs="Arial"/>
        </w:rPr>
      </w:pPr>
      <w:r w:rsidRPr="00940517">
        <w:rPr>
          <w:rFonts w:cs="Arial"/>
        </w:rPr>
        <w:t xml:space="preserve">Following the SBE discussion in January 2017, the CDE further consulted with Educational Testing Service (ETS), the Technical Design Group, the California Assessment of Student Performance and Progress (CAASPP) Technical Advisory </w:t>
      </w:r>
      <w:r w:rsidRPr="00940517">
        <w:rPr>
          <w:rFonts w:cs="Arial"/>
        </w:rPr>
        <w:lastRenderedPageBreak/>
        <w:t>Group (TAG), and the Statewide Assessment Stakeholder Group, regarding potential growth models. Three models were selected for simulation. The discussion and recommendations of the groups were summarized and presented to the SBE in a June 2017 Information Memorandum (</w:t>
      </w:r>
      <w:hyperlink r:id="rId106" w:tooltip="https://www.cde.ca.gov/be/pn/im/documents/memo-asb-adad-jun17item03.doc" w:history="1">
        <w:r w:rsidRPr="00940517">
          <w:rPr>
            <w:rFonts w:cs="Arial"/>
            <w:color w:val="0000FF"/>
            <w:u w:val="single"/>
          </w:rPr>
          <w:t>https://www.cde.ca.gov/be/pn/im/documents/memo-asb-adad-jun17item03.doc</w:t>
        </w:r>
      </w:hyperlink>
      <w:r w:rsidRPr="00940517">
        <w:rPr>
          <w:rFonts w:cs="Arial"/>
        </w:rPr>
        <w:t>).</w:t>
      </w:r>
    </w:p>
    <w:p w14:paraId="7D983166" w14:textId="07B66F72" w:rsidR="007B2CD9" w:rsidRPr="00940517" w:rsidRDefault="007B2CD9" w:rsidP="007B2CD9">
      <w:pPr>
        <w:spacing w:after="240"/>
        <w:rPr>
          <w:rFonts w:cs="Arial"/>
        </w:rPr>
      </w:pPr>
      <w:r w:rsidRPr="00940517">
        <w:rPr>
          <w:rFonts w:cs="Arial"/>
        </w:rPr>
        <w:t>In February 2018, the SBE received an Information Memorandum with the results of the ETS Growth Study, which provided a statistical analysis of three proposed growth models (</w:t>
      </w:r>
      <w:hyperlink r:id="rId107" w:tooltip="https://www.cde.ca.gov/be/pn/im/documents/memo-pptb-amard-feb18item01.docx" w:history="1">
        <w:r w:rsidRPr="00940517">
          <w:rPr>
            <w:rStyle w:val="Hyperlink"/>
            <w:rFonts w:eastAsiaTheme="majorEastAsia" w:cs="Arial"/>
          </w:rPr>
          <w:t>https://www.cde.ca.gov/be/pn/im/documents/memo-pptb-amard-feb18item01.docx</w:t>
        </w:r>
      </w:hyperlink>
      <w:r w:rsidRPr="00940517">
        <w:rPr>
          <w:rFonts w:cs="Arial"/>
        </w:rPr>
        <w:t>).</w:t>
      </w:r>
    </w:p>
    <w:p w14:paraId="52AC0BD7" w14:textId="6C28F2AF" w:rsidR="007B2CD9" w:rsidRPr="00940517" w:rsidRDefault="007B2CD9" w:rsidP="007B2CD9">
      <w:pPr>
        <w:spacing w:after="240"/>
        <w:rPr>
          <w:rFonts w:cs="Arial"/>
        </w:rPr>
      </w:pPr>
      <w:r w:rsidRPr="00940517">
        <w:rPr>
          <w:rFonts w:cs="Arial"/>
        </w:rPr>
        <w:t>In May 2018, the SBE reviewed analyses of the three student-level growth models conducted by ETS and directed the CDE to further explore the Residual Gain model for possible inclusion in the Dashboard (</w:t>
      </w:r>
      <w:hyperlink r:id="rId108" w:tooltip="https://www.cde.ca.gov/be/ag/ag/yr18/documents/may18item02.docx" w:history="1">
        <w:r w:rsidRPr="00940517">
          <w:rPr>
            <w:rStyle w:val="Hyperlink"/>
            <w:rFonts w:eastAsiaTheme="majorEastAsia" w:cs="Arial"/>
          </w:rPr>
          <w:t>https://www.cde.ca.gov/be/ag/ag/yr18/documents/may18item02.docx</w:t>
        </w:r>
      </w:hyperlink>
      <w:r w:rsidRPr="00940517">
        <w:rPr>
          <w:rFonts w:cs="Arial"/>
        </w:rPr>
        <w:t>).</w:t>
      </w:r>
    </w:p>
    <w:p w14:paraId="2D4F25A0" w14:textId="64B4BDD8" w:rsidR="007B2CD9" w:rsidRPr="00940517" w:rsidRDefault="007B2CD9" w:rsidP="007B2CD9">
      <w:pPr>
        <w:spacing w:after="240"/>
        <w:rPr>
          <w:rFonts w:cs="Arial"/>
        </w:rPr>
      </w:pPr>
      <w:r w:rsidRPr="00940517">
        <w:rPr>
          <w:rFonts w:cs="Arial"/>
        </w:rPr>
        <w:t>At its July 2018 meeting, the SBE directed the CDE to conduct further analyses on the Residual Growth model, including the impact of future years of assessment data, changes in the model to reduce year-to-year volatility, consideration of additional growth models or options, and an examination of growth models implemented in other states (</w:t>
      </w:r>
      <w:hyperlink r:id="rId109" w:tooltip="https://www.cde.ca.gov/be/ag/ag/yr18/documents/jul18item01.docx" w:history="1">
        <w:r w:rsidRPr="00940517">
          <w:rPr>
            <w:rStyle w:val="Hyperlink"/>
            <w:rFonts w:eastAsiaTheme="majorEastAsia" w:cs="Arial"/>
          </w:rPr>
          <w:t>https://www.cde.ca.gov/be/ag/ag/yr18/documents/jul18item01.docx</w:t>
        </w:r>
      </w:hyperlink>
      <w:r w:rsidRPr="00940517">
        <w:rPr>
          <w:rFonts w:cs="Arial"/>
        </w:rPr>
        <w:t>).</w:t>
      </w:r>
    </w:p>
    <w:p w14:paraId="506341E4" w14:textId="5501DADC" w:rsidR="007B2CD9" w:rsidRPr="00940517" w:rsidRDefault="007B2CD9" w:rsidP="007B2CD9">
      <w:pPr>
        <w:spacing w:before="240"/>
        <w:rPr>
          <w:rFonts w:cs="Arial"/>
        </w:rPr>
      </w:pPr>
      <w:r w:rsidRPr="00940517">
        <w:rPr>
          <w:rFonts w:cs="Arial"/>
          <w:color w:val="000000"/>
        </w:rPr>
        <w:t>The CDE engaged the California Comprehensive Center to conduct this research and facilitate a stakeholder process on the future direction of this work. In February 2019, the SBE received an Information Memorandum, providing a summary of the first student growth model stakeholder meeting (</w:t>
      </w:r>
      <w:hyperlink r:id="rId110" w:tooltip="https://www.cde.ca.gov/be/pn/im/documents/memo-pptb-amard-feb19item03.docx" w:history="1">
        <w:r w:rsidRPr="00940517">
          <w:rPr>
            <w:rStyle w:val="Hyperlink"/>
            <w:rFonts w:eastAsiaTheme="majorEastAsia" w:cs="Arial"/>
          </w:rPr>
          <w:t>https://www.cde.ca.gov/be/pn/im/documents/memo-pptb-amard-feb19item03.docx</w:t>
        </w:r>
      </w:hyperlink>
      <w:r w:rsidRPr="00940517">
        <w:rPr>
          <w:rFonts w:cs="Arial"/>
          <w:color w:val="000000"/>
        </w:rPr>
        <w:t>).</w:t>
      </w:r>
    </w:p>
    <w:p w14:paraId="0AE3AEB5" w14:textId="77F977A0" w:rsidR="007B2CD9" w:rsidRPr="00940517" w:rsidRDefault="007B2CD9" w:rsidP="007B2CD9">
      <w:pPr>
        <w:spacing w:before="240"/>
        <w:rPr>
          <w:rFonts w:cs="Arial"/>
          <w:color w:val="000000"/>
        </w:rPr>
      </w:pPr>
      <w:r w:rsidRPr="00940517">
        <w:rPr>
          <w:rFonts w:cs="Arial"/>
          <w:color w:val="000000"/>
        </w:rPr>
        <w:t>In April 2019, the SBE received an Information Memorandum, providing a summary of the second growth model stakeholder feedback group meeting (</w:t>
      </w:r>
      <w:hyperlink r:id="rId111" w:tooltip="https://www.cde.ca.gov/be/pn/im/documents/memo-pptb-amard-apr19item02.docx" w:history="1">
        <w:r w:rsidRPr="00940517">
          <w:rPr>
            <w:rStyle w:val="Hyperlink"/>
            <w:rFonts w:eastAsiaTheme="majorEastAsia" w:cs="Arial"/>
          </w:rPr>
          <w:t>https://www.cde.ca.gov/be/pn/im/documents/memo-pptb-amard-apr19item02.docx</w:t>
        </w:r>
      </w:hyperlink>
      <w:r w:rsidRPr="00940517">
        <w:rPr>
          <w:rFonts w:cs="Arial"/>
          <w:color w:val="000000"/>
        </w:rPr>
        <w:t>).</w:t>
      </w:r>
    </w:p>
    <w:p w14:paraId="5BB2184A" w14:textId="0E541B95" w:rsidR="007B2CD9" w:rsidRPr="00940517" w:rsidRDefault="007B2CD9" w:rsidP="007B2CD9">
      <w:pPr>
        <w:spacing w:before="240" w:after="240"/>
        <w:rPr>
          <w:rFonts w:cs="Arial"/>
          <w:color w:val="000000"/>
        </w:rPr>
      </w:pPr>
      <w:r w:rsidRPr="00940517">
        <w:rPr>
          <w:rFonts w:cs="Arial"/>
          <w:color w:val="000000"/>
        </w:rPr>
        <w:t>In November 2019, the SBE received an Information Memorandum, providing a summary of the growth model stakeholder feedback group process (</w:t>
      </w:r>
      <w:hyperlink r:id="rId112" w:tooltip="https://www.cde.ca.gov/be/pn/im/documents/nov19memoamard01.docx" w:history="1">
        <w:r w:rsidRPr="00940517">
          <w:rPr>
            <w:rStyle w:val="Hyperlink"/>
            <w:rFonts w:eastAsiaTheme="majorEastAsia" w:cs="Arial"/>
            <w:shd w:val="clear" w:color="auto" w:fill="FFFFFF"/>
          </w:rPr>
          <w:t>https://www.cde.ca.gov/be/pn/im/documents/nov19memoamard01.docx</w:t>
        </w:r>
      </w:hyperlink>
      <w:r w:rsidRPr="00940517">
        <w:rPr>
          <w:rFonts w:cs="Arial"/>
          <w:color w:val="000000"/>
        </w:rPr>
        <w:t>).</w:t>
      </w:r>
    </w:p>
    <w:p w14:paraId="5A5AB41C" w14:textId="5C5E5E01" w:rsidR="007B2CD9" w:rsidRPr="00940517" w:rsidRDefault="007B2CD9" w:rsidP="007B2CD9">
      <w:pPr>
        <w:spacing w:after="100" w:afterAutospacing="1"/>
        <w:rPr>
          <w:rFonts w:cs="Arial"/>
        </w:rPr>
      </w:pPr>
      <w:r w:rsidRPr="00940517">
        <w:rPr>
          <w:rFonts w:cs="Arial"/>
          <w:color w:val="000000" w:themeColor="text1"/>
        </w:rPr>
        <w:t>At the March 2020 meeting, the SBE directed the CDE to provide a presentation at the May 2020 meeting regarding the work conducted to date on the development of a student-level growth model. Due to the national health crisis, this presentation was postponed until the July 2020 SBE meeting (</w:t>
      </w:r>
      <w:hyperlink r:id="rId113" w:tooltip="https://www.cde.ca.gov/be/ag/ag/yr20/documents/mar20item05.docx">
        <w:r w:rsidRPr="00940517">
          <w:rPr>
            <w:rStyle w:val="Hyperlink"/>
            <w:rFonts w:eastAsiaTheme="majorEastAsia" w:cs="Arial"/>
          </w:rPr>
          <w:t>https://www.cde.ca.gov/be/ag/ag/yr20/documents/mar20item05.docx</w:t>
        </w:r>
      </w:hyperlink>
      <w:r w:rsidRPr="00940517">
        <w:rPr>
          <w:rFonts w:cs="Arial"/>
        </w:rPr>
        <w:t>).</w:t>
      </w:r>
    </w:p>
    <w:p w14:paraId="64BC7F38" w14:textId="0F58CA87" w:rsidR="007B2CD9" w:rsidRPr="00940517" w:rsidRDefault="007B2CD9" w:rsidP="007B2CD9">
      <w:pPr>
        <w:spacing w:after="100" w:afterAutospacing="1"/>
        <w:rPr>
          <w:rFonts w:cs="Arial"/>
        </w:rPr>
      </w:pPr>
      <w:r w:rsidRPr="00940517">
        <w:rPr>
          <w:rFonts w:cs="Arial"/>
          <w:color w:val="000000" w:themeColor="text1"/>
        </w:rPr>
        <w:t xml:space="preserve">In June 2020, the SBE received an Information Memorandum, </w:t>
      </w:r>
      <w:r w:rsidRPr="00940517">
        <w:rPr>
          <w:rFonts w:cs="Arial"/>
        </w:rPr>
        <w:t>providing the history and background on the student growth model work to date (</w:t>
      </w:r>
      <w:hyperlink r:id="rId114" w:tooltip="https://www.cde.ca.gov/be/pn/im/documents/memo-imb-amard-june20item01.docx">
        <w:r w:rsidRPr="00940517">
          <w:rPr>
            <w:rStyle w:val="Hyperlink"/>
            <w:rFonts w:eastAsiaTheme="majorEastAsia" w:cs="Arial"/>
          </w:rPr>
          <w:t>https://www.cde.ca.gov/be/pn/im/documents/memo-imb-amard-june20item01.docx</w:t>
        </w:r>
      </w:hyperlink>
      <w:r w:rsidRPr="00940517">
        <w:rPr>
          <w:rFonts w:cs="Arial"/>
        </w:rPr>
        <w:t>).</w:t>
      </w:r>
    </w:p>
    <w:p w14:paraId="2E697A83" w14:textId="15229A32" w:rsidR="007B2CD9" w:rsidRPr="00940517" w:rsidRDefault="007B2CD9" w:rsidP="007B2CD9">
      <w:pPr>
        <w:spacing w:after="100" w:afterAutospacing="1"/>
        <w:rPr>
          <w:rFonts w:cs="Arial"/>
        </w:rPr>
      </w:pPr>
      <w:r w:rsidRPr="00940517">
        <w:rPr>
          <w:rFonts w:cs="Arial"/>
        </w:rPr>
        <w:lastRenderedPageBreak/>
        <w:t>At the July 2020 SBE meeting, the CDE provided a presentation regarding the work conducted to data on the development of a student-level growth model (</w:t>
      </w:r>
      <w:hyperlink r:id="rId115" w:tooltip="https://www.cde.ca.gov/be/ag/ag/yr20/documents/jul20item02.docx">
        <w:r w:rsidRPr="00940517">
          <w:rPr>
            <w:rStyle w:val="Hyperlink"/>
            <w:rFonts w:eastAsiaTheme="majorEastAsia" w:cs="Arial"/>
          </w:rPr>
          <w:t>https://www.cde.ca.gov/be/ag/ag/yr20/documents/jul20item02.docx</w:t>
        </w:r>
      </w:hyperlink>
      <w:r w:rsidRPr="00940517">
        <w:rPr>
          <w:rFonts w:cs="Arial"/>
        </w:rPr>
        <w:t>).</w:t>
      </w:r>
    </w:p>
    <w:p w14:paraId="1F8DAE09" w14:textId="3FEC47A1" w:rsidR="007B2CD9" w:rsidRPr="00940517" w:rsidRDefault="007B2CD9" w:rsidP="007B2CD9">
      <w:pPr>
        <w:spacing w:after="240"/>
        <w:rPr>
          <w:rFonts w:cs="Arial"/>
        </w:rPr>
      </w:pPr>
      <w:r w:rsidRPr="00940517">
        <w:rPr>
          <w:rFonts w:cs="Arial"/>
        </w:rPr>
        <w:t xml:space="preserve">In September 2020, the CDE presented </w:t>
      </w:r>
      <w:r w:rsidRPr="00940517">
        <w:rPr>
          <w:rStyle w:val="normaltextrun"/>
          <w:rFonts w:eastAsiaTheme="majorEastAsia" w:cs="Arial"/>
          <w:color w:val="000000"/>
          <w:bdr w:val="none" w:sz="0" w:space="0" w:color="auto" w:frame="1"/>
        </w:rPr>
        <w:t xml:space="preserve">an update on the progress by the CDE on refining the statistical methodology used to develop a student growth model. In addition, the ETS presented the results of its study on the potential of the </w:t>
      </w:r>
      <w:r w:rsidRPr="00940517">
        <w:rPr>
          <w:rStyle w:val="normaltextrun"/>
          <w:rFonts w:eastAsiaTheme="majorEastAsia" w:cs="Arial"/>
          <w:color w:val="000000"/>
          <w:shd w:val="clear" w:color="auto" w:fill="FFFFFF"/>
        </w:rPr>
        <w:t xml:space="preserve">EBLP method to estimate aggregate growth measures for LEAs and schools </w:t>
      </w:r>
      <w:r w:rsidRPr="00940517">
        <w:rPr>
          <w:rFonts w:cs="Arial"/>
        </w:rPr>
        <w:t>(</w:t>
      </w:r>
      <w:hyperlink r:id="rId116" w:tooltip="https://www.cde.ca.gov/be/ag/ag/yr20/documents/sep20item02.docx" w:history="1">
        <w:r w:rsidRPr="00940517">
          <w:rPr>
            <w:rStyle w:val="Hyperlink"/>
            <w:rFonts w:cs="Arial"/>
          </w:rPr>
          <w:t>https://www.cde.ca.gov/be/ag/ag/yr20/documents/sep20item02.docx</w:t>
        </w:r>
      </w:hyperlink>
      <w:r w:rsidRPr="00940517">
        <w:rPr>
          <w:rFonts w:cs="Arial"/>
        </w:rPr>
        <w:t>).</w:t>
      </w:r>
    </w:p>
    <w:p w14:paraId="195A5CD3" w14:textId="2CD52D47" w:rsidR="007B2CD9" w:rsidRPr="00940517" w:rsidRDefault="007B2CD9" w:rsidP="007B2CD9">
      <w:pPr>
        <w:spacing w:after="240"/>
        <w:rPr>
          <w:rFonts w:cs="Arial"/>
        </w:rPr>
      </w:pPr>
      <w:r w:rsidRPr="00940517">
        <w:rPr>
          <w:rFonts w:cs="Arial"/>
        </w:rPr>
        <w:t xml:space="preserve">In November 2020, the CDE presented an item recommending that the SBE adopt a single subject </w:t>
      </w:r>
      <w:r w:rsidRPr="00940517">
        <w:rPr>
          <w:rFonts w:eastAsia="Arial" w:cs="Arial"/>
          <w:color w:val="000000" w:themeColor="text1"/>
        </w:rPr>
        <w:t>Empirical Best Linear Prediction (EBLP)</w:t>
      </w:r>
      <w:r w:rsidRPr="00940517">
        <w:rPr>
          <w:rFonts w:cs="Arial"/>
        </w:rPr>
        <w:t xml:space="preserve"> methodology to improve growth model communication (</w:t>
      </w:r>
      <w:hyperlink r:id="rId117" w:tooltip="https://www.cde.ca.gov/be/ag/ag/yr20/documents/nov20item06.docx" w:history="1">
        <w:r w:rsidRPr="00940517">
          <w:rPr>
            <w:rStyle w:val="Hyperlink"/>
            <w:rFonts w:eastAsiaTheme="majorEastAsia" w:cs="Arial"/>
          </w:rPr>
          <w:t>https://www.cde.ca.gov/be/ag/ag/yr20/documents/nov20item06.docx</w:t>
        </w:r>
      </w:hyperlink>
      <w:r w:rsidRPr="00940517">
        <w:rPr>
          <w:rFonts w:cs="Arial"/>
        </w:rPr>
        <w:t>).</w:t>
      </w:r>
    </w:p>
    <w:p w14:paraId="3AA7BE0E" w14:textId="19711802" w:rsidR="007B2CD9" w:rsidRPr="00940517" w:rsidRDefault="1561034A" w:rsidP="51A8BDFE">
      <w:pPr>
        <w:spacing w:after="100" w:afterAutospacing="1"/>
        <w:rPr>
          <w:rFonts w:cs="Arial"/>
        </w:rPr>
      </w:pPr>
      <w:r w:rsidRPr="00940517">
        <w:rPr>
          <w:rFonts w:cs="Arial"/>
        </w:rPr>
        <w:t>In February 2021, the SBE received an Information Memorandum, providing the final ETS report on the student growth model and recommendations for criteria for determining the assignment of the EBLP or simple average. (</w:t>
      </w:r>
      <w:hyperlink r:id="rId118" w:tooltip="https://www.cde.ca.gov/be/pn/im/documents/feb21memoamard02.docx">
        <w:r w:rsidRPr="00940517">
          <w:rPr>
            <w:rStyle w:val="Hyperlink"/>
            <w:rFonts w:cs="Arial"/>
          </w:rPr>
          <w:t>https://www.cde.ca.gov/be/pn/im/documents/feb21memoamard02.docx</w:t>
        </w:r>
      </w:hyperlink>
      <w:r w:rsidRPr="00940517">
        <w:rPr>
          <w:rFonts w:cs="Arial"/>
        </w:rPr>
        <w:t>).</w:t>
      </w:r>
    </w:p>
    <w:p w14:paraId="5032E9CA" w14:textId="35B8B22A" w:rsidR="007B2CD9" w:rsidRPr="00940517" w:rsidRDefault="1561034A" w:rsidP="51A8BDFE">
      <w:pPr>
        <w:spacing w:afterAutospacing="1"/>
        <w:rPr>
          <w:rFonts w:eastAsia="Arial" w:cs="Arial"/>
        </w:rPr>
      </w:pPr>
      <w:r w:rsidRPr="00940517">
        <w:rPr>
          <w:rFonts w:cs="Arial"/>
        </w:rPr>
        <w:t xml:space="preserve">In May 2021, the SBE adopted the student growth model methodology, which includes using residual gain (RG) scores and the EBLP hybrid approach to report aggregated student growth. </w:t>
      </w:r>
      <w:r w:rsidRPr="00940517">
        <w:rPr>
          <w:rFonts w:eastAsia="Arial" w:cs="Arial"/>
          <w:color w:val="000000" w:themeColor="text1"/>
        </w:rPr>
        <w:t>(</w:t>
      </w:r>
      <w:hyperlink r:id="rId119" w:tooltip="https://www.cde.ca.gov/be/ag/ag/yr21/documents/may21item03.docx">
        <w:r w:rsidRPr="00940517">
          <w:rPr>
            <w:rStyle w:val="Hyperlink"/>
            <w:rFonts w:eastAsia="Arial" w:cs="Arial"/>
          </w:rPr>
          <w:t>https://www.cde.ca.gov/be/ag/ag/yr21/documents/may21item03.docx</w:t>
        </w:r>
      </w:hyperlink>
      <w:r w:rsidRPr="00940517">
        <w:rPr>
          <w:rFonts w:eastAsia="Arial" w:cs="Arial"/>
          <w:color w:val="000000" w:themeColor="text1"/>
        </w:rPr>
        <w:t>).</w:t>
      </w:r>
    </w:p>
    <w:p w14:paraId="4C3FC7E5" w14:textId="77777777" w:rsidR="007B2CD9" w:rsidRPr="00940517" w:rsidRDefault="007B2CD9" w:rsidP="007B2CD9">
      <w:pPr>
        <w:rPr>
          <w:rFonts w:cs="Arial"/>
        </w:rPr>
      </w:pPr>
      <w:r w:rsidRPr="00940517">
        <w:rPr>
          <w:rFonts w:cs="Arial"/>
        </w:rPr>
        <w:t>In October 2021, the SBE received an Information Memorandum with information on CDE’s September 2021 release of historical growth scores from 2016–19, as well as a timeline for next release of growth scores from 2021–24.</w:t>
      </w:r>
    </w:p>
    <w:p w14:paraId="45E46A0B" w14:textId="420C9E1A" w:rsidR="007B2CD9" w:rsidRPr="00940517" w:rsidRDefault="007B2CD9" w:rsidP="002538A3">
      <w:pPr>
        <w:spacing w:after="240"/>
        <w:rPr>
          <w:rFonts w:cs="Arial"/>
        </w:rPr>
      </w:pPr>
      <w:r w:rsidRPr="00940517">
        <w:rPr>
          <w:rFonts w:cs="Arial"/>
        </w:rPr>
        <w:t>(</w:t>
      </w:r>
      <w:hyperlink r:id="rId120" w:tooltip="https://www.cde.ca.gov/be/pn/im/documents/oct21memoamard01.docx">
        <w:r w:rsidRPr="00940517">
          <w:rPr>
            <w:rStyle w:val="Hyperlink"/>
            <w:rFonts w:cs="Arial"/>
          </w:rPr>
          <w:t>https://www.cde.ca.gov/be/pn/im/documents/oct21memoamard01.docx</w:t>
        </w:r>
      </w:hyperlink>
      <w:r w:rsidRPr="00940517">
        <w:rPr>
          <w:rFonts w:cs="Arial"/>
        </w:rPr>
        <w:t>).</w:t>
      </w:r>
    </w:p>
    <w:p w14:paraId="02EB2026" w14:textId="2B4938B6" w:rsidR="003552EC" w:rsidRPr="00940517" w:rsidRDefault="5742898A" w:rsidP="007B2CD9">
      <w:r w:rsidRPr="00940517">
        <w:t>I</w:t>
      </w:r>
      <w:r w:rsidR="3B797659" w:rsidRPr="00940517">
        <w:t xml:space="preserve">n February 2022, the SBE received an </w:t>
      </w:r>
      <w:r w:rsidR="2286E2D1" w:rsidRPr="00940517">
        <w:t xml:space="preserve">update on the </w:t>
      </w:r>
      <w:r w:rsidRPr="00940517">
        <w:t>exploration</w:t>
      </w:r>
      <w:r w:rsidR="2286E2D1" w:rsidRPr="00940517">
        <w:rPr>
          <w:rStyle w:val="normaltextrun"/>
          <w:rFonts w:eastAsiaTheme="majorEastAsia" w:cs="Arial"/>
          <w:color w:val="000000" w:themeColor="text1"/>
          <w:lang w:val="en"/>
        </w:rPr>
        <w:t xml:space="preserve"> into reporting academic student growth by English Language Proficiency Assessments for California Achievement Level. (</w:t>
      </w:r>
      <w:hyperlink r:id="rId121">
        <w:r w:rsidRPr="00940517">
          <w:rPr>
            <w:rStyle w:val="Hyperlink"/>
          </w:rPr>
          <w:t>https://www.cde.ca.gov/be/pn/im/infomemofeb2022.asp</w:t>
        </w:r>
      </w:hyperlink>
      <w:r w:rsidRPr="00940517">
        <w:t>)</w:t>
      </w:r>
    </w:p>
    <w:p w14:paraId="6EB1997B" w14:textId="77777777" w:rsidR="0088252F" w:rsidRPr="00940517" w:rsidRDefault="0088252F" w:rsidP="0088252F">
      <w:pPr>
        <w:pStyle w:val="Heading3"/>
      </w:pPr>
      <w:r w:rsidRPr="00940517">
        <w:t>Ineffective and Out-of-Field Teachers</w:t>
      </w:r>
    </w:p>
    <w:p w14:paraId="2E59ECF6" w14:textId="51323FC5" w:rsidR="0088252F" w:rsidRPr="00940517" w:rsidRDefault="0088252F" w:rsidP="0088252F">
      <w:pPr>
        <w:spacing w:before="240" w:after="240"/>
        <w:rPr>
          <w:rFonts w:eastAsia="Arial" w:cs="Arial"/>
        </w:rPr>
      </w:pPr>
      <w:r w:rsidRPr="00940517">
        <w:rPr>
          <w:rFonts w:eastAsia="Arial" w:cs="Arial"/>
        </w:rPr>
        <w:t>In November 2019, the SBE adopted updated teacher equity definitions under Every Student Succeeds Act and state reporting requirements based on feedback from LEAs (</w:t>
      </w:r>
      <w:hyperlink r:id="rId122" w:tooltip="https://www.cde.ca.gov/be/ag/ag/yr19/documents/nov19item05rev.docx">
        <w:r w:rsidRPr="00940517">
          <w:rPr>
            <w:rFonts w:eastAsia="Arial" w:cs="Arial"/>
            <w:color w:val="0000FF"/>
            <w:u w:val="single"/>
          </w:rPr>
          <w:t>https://www.cde.ca.gov/be/ag/ag/yr19/documents/nov19item05rev.docx</w:t>
        </w:r>
      </w:hyperlink>
      <w:r w:rsidRPr="00940517">
        <w:rPr>
          <w:rFonts w:eastAsia="Arial" w:cs="Arial"/>
          <w:color w:val="0000FF"/>
          <w:u w:val="single"/>
        </w:rPr>
        <w:t>)</w:t>
      </w:r>
      <w:r w:rsidRPr="00940517">
        <w:rPr>
          <w:rFonts w:eastAsia="Arial" w:cs="Arial"/>
        </w:rPr>
        <w:t>.</w:t>
      </w:r>
    </w:p>
    <w:p w14:paraId="4AE454C9" w14:textId="4EA790F5" w:rsidR="0088252F" w:rsidRPr="00940517" w:rsidRDefault="0088252F" w:rsidP="0088252F">
      <w:pPr>
        <w:spacing w:before="240" w:after="240"/>
        <w:rPr>
          <w:rFonts w:eastAsia="Arial"/>
        </w:rPr>
      </w:pPr>
      <w:r w:rsidRPr="00940517">
        <w:rPr>
          <w:rFonts w:eastAsia="Arial" w:cs="Arial"/>
        </w:rPr>
        <w:t>In August 2020, the SBE received an Information Memorandum which provided b</w:t>
      </w:r>
      <w:r w:rsidRPr="00940517">
        <w:rPr>
          <w:rFonts w:cs="Arial"/>
          <w:color w:val="000000"/>
          <w:shd w:val="clear" w:color="auto" w:fill="FFFFFF"/>
        </w:rPr>
        <w:t xml:space="preserve">ackground information and an implementation plan for </w:t>
      </w:r>
      <w:r w:rsidRPr="00940517">
        <w:rPr>
          <w:rFonts w:cs="Arial"/>
          <w:i/>
          <w:iCs/>
          <w:color w:val="000000"/>
          <w:shd w:val="clear" w:color="auto" w:fill="FFFFFF"/>
        </w:rPr>
        <w:t>Education Code</w:t>
      </w:r>
      <w:r w:rsidRPr="00940517">
        <w:rPr>
          <w:rFonts w:cs="Arial"/>
          <w:color w:val="000000"/>
          <w:shd w:val="clear" w:color="auto" w:fill="FFFFFF"/>
        </w:rPr>
        <w:t xml:space="preserve"> 52064.5 r</w:t>
      </w:r>
      <w:r w:rsidRPr="00940517">
        <w:rPr>
          <w:rFonts w:cs="Arial"/>
          <w:shd w:val="clear" w:color="auto" w:fill="FFFFFF"/>
        </w:rPr>
        <w:t>elated to the Standards for Local Indicators</w:t>
      </w:r>
      <w:r w:rsidRPr="00940517" w:rsidDel="00427029">
        <w:rPr>
          <w:rFonts w:eastAsia="Arial" w:cs="Arial"/>
        </w:rPr>
        <w:t xml:space="preserve"> </w:t>
      </w:r>
      <w:r w:rsidRPr="00940517">
        <w:rPr>
          <w:rFonts w:eastAsia="Arial" w:cs="Arial"/>
        </w:rPr>
        <w:t>(</w:t>
      </w:r>
      <w:hyperlink r:id="rId123" w:tooltip="https://www.cde.ca.gov/be/pn/im/documents/aug20amard01.docx">
        <w:r w:rsidRPr="00940517">
          <w:rPr>
            <w:rStyle w:val="Hyperlink"/>
            <w:rFonts w:eastAsia="Arial" w:cs="Arial"/>
          </w:rPr>
          <w:t>https://www.cde.ca.gov/be/pn/im/documents/aug20amard01.docx</w:t>
        </w:r>
      </w:hyperlink>
      <w:r w:rsidRPr="00940517">
        <w:rPr>
          <w:rFonts w:eastAsia="Arial"/>
        </w:rPr>
        <w:t>).</w:t>
      </w:r>
    </w:p>
    <w:p w14:paraId="34957E6F" w14:textId="24CC4ABB" w:rsidR="0088252F" w:rsidRPr="00940517" w:rsidRDefault="0088252F" w:rsidP="0088252F">
      <w:pPr>
        <w:spacing w:before="240" w:after="240"/>
      </w:pPr>
      <w:r w:rsidRPr="00940517">
        <w:rPr>
          <w:rFonts w:cs="Arial"/>
        </w:rPr>
        <w:t xml:space="preserve">In September 2020, the CDE presented </w:t>
      </w:r>
      <w:r w:rsidRPr="00940517">
        <w:rPr>
          <w:rStyle w:val="normaltextrun"/>
          <w:rFonts w:eastAsiaTheme="majorEastAsia" w:cs="Arial"/>
          <w:color w:val="000000"/>
          <w:bdr w:val="none" w:sz="0" w:space="0" w:color="auto" w:frame="1"/>
        </w:rPr>
        <w:t xml:space="preserve">an update on the </w:t>
      </w:r>
      <w:r w:rsidRPr="00940517">
        <w:rPr>
          <w:rFonts w:eastAsiaTheme="majorEastAsia" w:cs="Arial"/>
          <w:color w:val="000000"/>
          <w:bdr w:val="none" w:sz="0" w:space="0" w:color="auto" w:frame="1"/>
        </w:rPr>
        <w:t xml:space="preserve">implementation of </w:t>
      </w:r>
      <w:r w:rsidRPr="00940517">
        <w:rPr>
          <w:rFonts w:eastAsiaTheme="majorEastAsia" w:cs="Arial"/>
          <w:i/>
          <w:iCs/>
          <w:color w:val="000000"/>
          <w:bdr w:val="none" w:sz="0" w:space="0" w:color="auto" w:frame="1"/>
        </w:rPr>
        <w:t>Education Code</w:t>
      </w:r>
      <w:r w:rsidRPr="00940517">
        <w:rPr>
          <w:rFonts w:eastAsiaTheme="majorEastAsia" w:cs="Arial"/>
          <w:color w:val="000000"/>
          <w:bdr w:val="none" w:sz="0" w:space="0" w:color="auto" w:frame="1"/>
        </w:rPr>
        <w:t xml:space="preserve"> (</w:t>
      </w:r>
      <w:r w:rsidRPr="00940517">
        <w:rPr>
          <w:rFonts w:eastAsiaTheme="majorEastAsia" w:cs="Arial"/>
          <w:i/>
          <w:iCs/>
          <w:color w:val="000000"/>
          <w:bdr w:val="none" w:sz="0" w:space="0" w:color="auto" w:frame="1"/>
        </w:rPr>
        <w:t>EC</w:t>
      </w:r>
      <w:r w:rsidRPr="00940517">
        <w:rPr>
          <w:rFonts w:eastAsiaTheme="majorEastAsia" w:cs="Arial"/>
          <w:color w:val="000000"/>
          <w:bdr w:val="none" w:sz="0" w:space="0" w:color="auto" w:frame="1"/>
        </w:rPr>
        <w:t xml:space="preserve">) Section 52064.5, related to local indicators. </w:t>
      </w:r>
      <w:r w:rsidRPr="00940517">
        <w:rPr>
          <w:rFonts w:cs="Arial"/>
        </w:rPr>
        <w:t>(</w:t>
      </w:r>
      <w:hyperlink r:id="rId124" w:tooltip="https://www.cde.ca.gov/be/ag/ag/yr20/documents/sep20item02.docx" w:history="1">
        <w:r w:rsidRPr="00940517">
          <w:rPr>
            <w:rStyle w:val="Hyperlink"/>
            <w:rFonts w:cs="Arial"/>
          </w:rPr>
          <w:t>https://www.cde.ca.gov/be/ag/ag/yr20/documents/sep20item02.docx</w:t>
        </w:r>
      </w:hyperlink>
      <w:r w:rsidRPr="00940517">
        <w:t>).</w:t>
      </w:r>
    </w:p>
    <w:p w14:paraId="662032E0" w14:textId="2D87659A" w:rsidR="0088252F" w:rsidRPr="00940517" w:rsidRDefault="0088252F" w:rsidP="0088252F">
      <w:pPr>
        <w:spacing w:before="240" w:after="120"/>
        <w:rPr>
          <w:rFonts w:eastAsia="Arial" w:cs="Arial"/>
        </w:rPr>
      </w:pPr>
      <w:r w:rsidRPr="00940517">
        <w:rPr>
          <w:rFonts w:eastAsia="Arial" w:cs="Arial"/>
          <w:color w:val="000000" w:themeColor="text1"/>
        </w:rPr>
        <w:lastRenderedPageBreak/>
        <w:t xml:space="preserve">In November 2021, the CDE presented an update on ESSA state plan amendments and proposed changes to </w:t>
      </w:r>
      <w:r w:rsidRPr="00940517">
        <w:rPr>
          <w:rFonts w:eastAsia="Arial" w:cs="Arial"/>
        </w:rPr>
        <w:t>data tables related to ineffective teachers. (</w:t>
      </w:r>
      <w:hyperlink r:id="rId125" w:tooltip="https://www.cde.ca.gov/be/ag/ag/yr21/documents/nov21item06.docx">
        <w:r w:rsidRPr="00940517">
          <w:rPr>
            <w:rStyle w:val="Hyperlink"/>
            <w:rFonts w:eastAsia="Arial" w:cs="Arial"/>
          </w:rPr>
          <w:t>https://www.cde.ca.gov/be/ag/ag/yr21/documents/nov21item06.docx</w:t>
        </w:r>
      </w:hyperlink>
      <w:r w:rsidRPr="00940517">
        <w:rPr>
          <w:rFonts w:eastAsia="Arial" w:cs="Arial"/>
        </w:rPr>
        <w:t>).</w:t>
      </w:r>
    </w:p>
    <w:p w14:paraId="22A35B3B" w14:textId="5AB5DEEC" w:rsidR="00AE7FA1" w:rsidRPr="00940517" w:rsidRDefault="00AE7FA1" w:rsidP="00AE7FA1">
      <w:pPr>
        <w:pStyle w:val="Heading3"/>
      </w:pPr>
      <w:bookmarkStart w:id="13" w:name="_Hlk95308571"/>
      <w:r w:rsidRPr="00940517">
        <w:t>Eligibility for Support</w:t>
      </w:r>
    </w:p>
    <w:bookmarkEnd w:id="13"/>
    <w:p w14:paraId="112B3F7D" w14:textId="77777777" w:rsidR="00F22F1A" w:rsidRPr="00940517" w:rsidRDefault="00F22F1A" w:rsidP="00F22F1A">
      <w:pPr>
        <w:pStyle w:val="Heading4"/>
        <w:rPr>
          <w:rFonts w:eastAsia="MS Gothic" w:cs="Times New Roman"/>
          <w:bCs/>
          <w:szCs w:val="28"/>
        </w:rPr>
      </w:pPr>
      <w:r w:rsidRPr="00940517">
        <w:t>Differentiated Assistance</w:t>
      </w:r>
    </w:p>
    <w:p w14:paraId="22C94D64" w14:textId="0EF76353" w:rsidR="00AE7FA1" w:rsidRPr="00940517" w:rsidRDefault="00612D0D" w:rsidP="430E3D63">
      <w:pPr>
        <w:spacing w:before="240" w:after="120"/>
        <w:rPr>
          <w:rFonts w:eastAsia="Arial" w:cs="Arial"/>
        </w:rPr>
      </w:pPr>
      <w:r w:rsidRPr="00940517">
        <w:rPr>
          <w:rFonts w:eastAsia="Arial" w:cs="Arial"/>
        </w:rPr>
        <w:t xml:space="preserve">In December 2019, the CDE provided an update </w:t>
      </w:r>
      <w:r w:rsidR="07C52DA3" w:rsidRPr="00940517">
        <w:rPr>
          <w:rFonts w:eastAsia="Arial" w:cs="Arial"/>
        </w:rPr>
        <w:t>regarding</w:t>
      </w:r>
      <w:r w:rsidRPr="00940517">
        <w:rPr>
          <w:rFonts w:eastAsia="Arial" w:cs="Arial"/>
        </w:rPr>
        <w:t xml:space="preserve"> LEAs that were </w:t>
      </w:r>
      <w:r w:rsidR="7C829118" w:rsidRPr="00940517">
        <w:rPr>
          <w:rFonts w:eastAsia="Arial" w:cs="Arial"/>
        </w:rPr>
        <w:t xml:space="preserve">eligible for differentiated </w:t>
      </w:r>
      <w:r w:rsidR="5E36A234" w:rsidRPr="00940517">
        <w:rPr>
          <w:rFonts w:eastAsia="Arial" w:cs="Arial"/>
        </w:rPr>
        <w:t>assistance under L</w:t>
      </w:r>
      <w:r w:rsidR="6DEC64E7" w:rsidRPr="00940517">
        <w:rPr>
          <w:rFonts w:eastAsia="Arial" w:cs="Arial"/>
        </w:rPr>
        <w:t>ocal Control Funding Formula (L</w:t>
      </w:r>
      <w:r w:rsidR="5E36A234" w:rsidRPr="00940517">
        <w:rPr>
          <w:rFonts w:eastAsia="Arial" w:cs="Arial"/>
        </w:rPr>
        <w:t>CFF</w:t>
      </w:r>
      <w:r w:rsidR="4828265E" w:rsidRPr="00940517">
        <w:rPr>
          <w:rFonts w:eastAsia="Arial" w:cs="Arial"/>
        </w:rPr>
        <w:t>)</w:t>
      </w:r>
      <w:r w:rsidR="5E36A234" w:rsidRPr="00940517">
        <w:rPr>
          <w:rFonts w:eastAsia="Arial" w:cs="Arial"/>
        </w:rPr>
        <w:t xml:space="preserve"> in </w:t>
      </w:r>
      <w:r w:rsidR="222FD0C7" w:rsidRPr="00940517">
        <w:rPr>
          <w:rFonts w:eastAsia="Arial" w:cs="Arial"/>
        </w:rPr>
        <w:t>2019 (</w:t>
      </w:r>
      <w:hyperlink r:id="rId126" w:tooltip="https://www.cde.ca.gov/be/pn/im/documents/apr20memoamard01.docx">
        <w:r w:rsidR="222FD0C7" w:rsidRPr="00940517">
          <w:rPr>
            <w:rStyle w:val="Hyperlink"/>
            <w:rFonts w:eastAsia="Arial" w:cs="Arial"/>
          </w:rPr>
          <w:t>https://www.cde.ca.gov/be/pn/im/documents/apr20memoamard01.docx</w:t>
        </w:r>
      </w:hyperlink>
      <w:r w:rsidR="222FD0C7" w:rsidRPr="00940517">
        <w:rPr>
          <w:rFonts w:eastAsia="Arial" w:cs="Arial"/>
        </w:rPr>
        <w:t>).</w:t>
      </w:r>
    </w:p>
    <w:p w14:paraId="7CF57929" w14:textId="77777777" w:rsidR="00F22F1A" w:rsidRPr="00940517" w:rsidRDefault="00F22F1A" w:rsidP="00F22F1A">
      <w:pPr>
        <w:pStyle w:val="Heading4"/>
        <w:spacing w:after="120"/>
      </w:pPr>
      <w:r w:rsidRPr="00940517">
        <w:t>Comprehensive Support and Improvement</w:t>
      </w:r>
      <w:r w:rsidRPr="00940517">
        <w:rPr>
          <w:rFonts w:eastAsia="Arial" w:cs="Arial"/>
        </w:rPr>
        <w:t xml:space="preserve"> </w:t>
      </w:r>
    </w:p>
    <w:p w14:paraId="245D1961" w14:textId="36A05F2D" w:rsidR="00AE7FA1" w:rsidRPr="00940517" w:rsidRDefault="635D10D0" w:rsidP="0088252F">
      <w:pPr>
        <w:spacing w:before="240" w:after="120"/>
        <w:rPr>
          <w:rFonts w:eastAsia="Arial" w:cs="Arial"/>
        </w:rPr>
      </w:pPr>
      <w:r w:rsidRPr="00940517">
        <w:rPr>
          <w:rFonts w:eastAsia="Arial" w:cs="Arial"/>
        </w:rPr>
        <w:t xml:space="preserve">In January 2020, the CDE provided </w:t>
      </w:r>
      <w:r w:rsidR="4850D279" w:rsidRPr="00940517">
        <w:rPr>
          <w:rFonts w:eastAsia="Arial" w:cs="Arial"/>
        </w:rPr>
        <w:t xml:space="preserve">an update regarding schools that were </w:t>
      </w:r>
      <w:r w:rsidR="7757E244" w:rsidRPr="00940517">
        <w:rPr>
          <w:rFonts w:eastAsia="Arial" w:cs="Arial"/>
        </w:rPr>
        <w:t>eligible</w:t>
      </w:r>
      <w:r w:rsidR="4850D279" w:rsidRPr="00940517">
        <w:rPr>
          <w:rFonts w:eastAsia="Arial" w:cs="Arial"/>
        </w:rPr>
        <w:t xml:space="preserve"> for Comprehensive Support and Improvement (CSI) and Additional Targeted Support and Improvement (ATSI)</w:t>
      </w:r>
      <w:r w:rsidRPr="00940517">
        <w:rPr>
          <w:rFonts w:eastAsia="Arial" w:cs="Arial"/>
        </w:rPr>
        <w:t xml:space="preserve"> (</w:t>
      </w:r>
      <w:hyperlink r:id="rId127" w:tooltip="https://www.cde.ca.gov/be/pn/im/documents/apr20memoamard02.docx">
        <w:r w:rsidRPr="00940517">
          <w:rPr>
            <w:rStyle w:val="Hyperlink"/>
            <w:rFonts w:eastAsia="Arial" w:cs="Arial"/>
          </w:rPr>
          <w:t>https://www.cde.ca.gov/be/pn/im/documents/apr20memoamard02.docx</w:t>
        </w:r>
      </w:hyperlink>
      <w:r w:rsidRPr="00940517">
        <w:rPr>
          <w:rFonts w:eastAsia="Arial" w:cs="Arial"/>
        </w:rPr>
        <w:t>).</w:t>
      </w:r>
    </w:p>
    <w:p w14:paraId="2A4CEE0E" w14:textId="7E79BBA5" w:rsidR="006D4E72" w:rsidRPr="00940517" w:rsidRDefault="5742898A" w:rsidP="006D4E72">
      <w:pPr>
        <w:rPr>
          <w:rFonts w:cs="Arial"/>
          <w:color w:val="000000" w:themeColor="text1"/>
        </w:rPr>
      </w:pPr>
      <w:r w:rsidRPr="00940517">
        <w:t>In February 2022, the SBE received an update on</w:t>
      </w:r>
      <w:r w:rsidRPr="00940517">
        <w:rPr>
          <w:rFonts w:ascii="Helvetica" w:hAnsi="Helvetica" w:cs="Helvetica"/>
          <w:color w:val="000000" w:themeColor="text1"/>
        </w:rPr>
        <w:t xml:space="preserve"> </w:t>
      </w:r>
      <w:r w:rsidRPr="00940517">
        <w:rPr>
          <w:rStyle w:val="normaltextrun"/>
          <w:rFonts w:ascii="Helvetica" w:hAnsi="Helvetica" w:cs="Helvetica"/>
          <w:color w:val="000000" w:themeColor="text1"/>
        </w:rPr>
        <w:t xml:space="preserve">schools eligible to exit Comprehensive Support and Improvement (CSI) </w:t>
      </w:r>
      <w:r w:rsidRPr="00940517">
        <w:rPr>
          <w:rFonts w:eastAsiaTheme="majorEastAsia" w:cs="Arial"/>
        </w:rPr>
        <w:t>- Low Graduation Rate Schools category.</w:t>
      </w:r>
      <w:r w:rsidRPr="00940517">
        <w:rPr>
          <w:rStyle w:val="normaltextrun"/>
          <w:rFonts w:eastAsiaTheme="majorEastAsia" w:cs="Arial"/>
          <w:color w:val="000000" w:themeColor="text1"/>
          <w:lang w:val="en"/>
        </w:rPr>
        <w:t xml:space="preserve"> (</w:t>
      </w:r>
      <w:hyperlink r:id="rId128">
        <w:r w:rsidRPr="00940517">
          <w:rPr>
            <w:rStyle w:val="Hyperlink"/>
          </w:rPr>
          <w:t>https://www.cde.ca.gov/be/pn/im/infomemofeb2022.asp</w:t>
        </w:r>
      </w:hyperlink>
      <w:r w:rsidRPr="00940517">
        <w:t>)</w:t>
      </w:r>
    </w:p>
    <w:p w14:paraId="79A2FB10" w14:textId="11245129" w:rsidR="006D4E72" w:rsidRPr="00940517" w:rsidRDefault="63C35DC4" w:rsidP="0E36A200">
      <w:pPr>
        <w:pStyle w:val="Heading3"/>
      </w:pPr>
      <w:r w:rsidRPr="00940517">
        <w:t>E</w:t>
      </w:r>
      <w:r w:rsidR="2393B235" w:rsidRPr="00940517">
        <w:t xml:space="preserve">lementary and Secondary Education Act </w:t>
      </w:r>
      <w:r w:rsidR="5A8C8C9D" w:rsidRPr="00940517">
        <w:t>COVID-19 Waivers</w:t>
      </w:r>
    </w:p>
    <w:p w14:paraId="4234BB56" w14:textId="77777777" w:rsidR="003552EC" w:rsidRPr="00940517" w:rsidRDefault="63C35DC4" w:rsidP="0E36A200">
      <w:pPr>
        <w:rPr>
          <w:rFonts w:cs="Arial"/>
        </w:rPr>
      </w:pPr>
      <w:r w:rsidRPr="00940517">
        <w:rPr>
          <w:rFonts w:cs="Arial"/>
          <w:color w:val="000000" w:themeColor="text1"/>
        </w:rPr>
        <w:t xml:space="preserve">In May 2020, the SBE approved the submission of an </w:t>
      </w:r>
      <w:r w:rsidRPr="00940517">
        <w:rPr>
          <w:rFonts w:cs="Arial"/>
        </w:rPr>
        <w:t>Assessment and Accountability Waiver for the 2019–20 school year of certain sections under the Elementary and Secondary Education Act Section 8401(b)</w:t>
      </w:r>
    </w:p>
    <w:p w14:paraId="7C03A4BC" w14:textId="56CED8AB" w:rsidR="003552EC" w:rsidRPr="00940517" w:rsidRDefault="63C35DC4" w:rsidP="0E36A200">
      <w:pPr>
        <w:spacing w:after="240"/>
        <w:rPr>
          <w:rFonts w:cs="Arial"/>
          <w:color w:val="000000" w:themeColor="text1"/>
        </w:rPr>
      </w:pPr>
      <w:r w:rsidRPr="00940517">
        <w:rPr>
          <w:rFonts w:cs="Arial"/>
          <w:color w:val="000000" w:themeColor="text1"/>
        </w:rPr>
        <w:t>(</w:t>
      </w:r>
      <w:hyperlink r:id="rId129">
        <w:r w:rsidRPr="00940517">
          <w:rPr>
            <w:rStyle w:val="Hyperlink"/>
            <w:rFonts w:cs="Arial"/>
          </w:rPr>
          <w:t>https://www.cde.ca.gov/be/ag/ag/yr20/documents/may20item03.docx</w:t>
        </w:r>
      </w:hyperlink>
      <w:r w:rsidRPr="00940517">
        <w:rPr>
          <w:rFonts w:cs="Arial"/>
          <w:color w:val="000000" w:themeColor="text1"/>
        </w:rPr>
        <w:t>).</w:t>
      </w:r>
    </w:p>
    <w:p w14:paraId="32D3BFFA" w14:textId="33116A9F" w:rsidR="003552EC" w:rsidRPr="00940517" w:rsidRDefault="63C35DC4" w:rsidP="003552EC">
      <w:pPr>
        <w:spacing w:after="240"/>
        <w:rPr>
          <w:rFonts w:cs="Arial"/>
          <w:color w:val="000000" w:themeColor="text1"/>
        </w:rPr>
      </w:pPr>
      <w:r w:rsidRPr="00940517">
        <w:rPr>
          <w:rFonts w:cs="Arial"/>
          <w:color w:val="000000" w:themeColor="text1"/>
        </w:rPr>
        <w:t>In January 2021, the SBE approved the submission of the COVID-19 State Plan Addendum waiver for the 2020-21 school year of certain sections under the Elementary and Secondary Education Act Section 8401(b) (</w:t>
      </w:r>
      <w:hyperlink r:id="rId130">
        <w:r w:rsidRPr="00940517">
          <w:rPr>
            <w:rStyle w:val="Hyperlink"/>
            <w:rFonts w:cs="Arial"/>
          </w:rPr>
          <w:t>https://www.cde.ca.gov/be/ag/ag/yr21/documents/jan21item04.docx</w:t>
        </w:r>
      </w:hyperlink>
      <w:r w:rsidRPr="00940517">
        <w:rPr>
          <w:rFonts w:cs="Arial"/>
          <w:color w:val="000000" w:themeColor="text1"/>
        </w:rPr>
        <w:t>).</w:t>
      </w:r>
    </w:p>
    <w:p w14:paraId="7E7D5134" w14:textId="25E7DACA" w:rsidR="003552EC" w:rsidRPr="00940517" w:rsidRDefault="63C35DC4" w:rsidP="0E36A200">
      <w:pPr>
        <w:spacing w:after="240" w:afterAutospacing="1"/>
        <w:rPr>
          <w:rFonts w:cs="Arial"/>
          <w:color w:val="000000"/>
        </w:rPr>
      </w:pPr>
      <w:r w:rsidRPr="00940517">
        <w:rPr>
          <w:rFonts w:cs="Arial"/>
          <w:color w:val="000000" w:themeColor="text1"/>
        </w:rPr>
        <w:t xml:space="preserve">In February 2021, the SBE </w:t>
      </w:r>
      <w:r w:rsidRPr="00940517">
        <w:rPr>
          <w:rFonts w:cs="Arial"/>
        </w:rPr>
        <w:t>d</w:t>
      </w:r>
      <w:r w:rsidRPr="00940517">
        <w:rPr>
          <w:rFonts w:cs="Arial"/>
          <w:color w:val="000000" w:themeColor="text1"/>
        </w:rPr>
        <w:t>irected CDE to prepare a waiver, which includes decoupling accountability from this year’s assessments. (</w:t>
      </w:r>
      <w:hyperlink r:id="rId131">
        <w:r w:rsidRPr="00940517">
          <w:rPr>
            <w:rStyle w:val="Hyperlink"/>
            <w:rFonts w:cs="Arial"/>
          </w:rPr>
          <w:t>https://www.cde.ca.gov/be/ag/ag/yr21/documents/feb2124item02addendum.docx</w:t>
        </w:r>
      </w:hyperlink>
      <w:r w:rsidRPr="00940517">
        <w:rPr>
          <w:rFonts w:cs="Arial"/>
          <w:color w:val="000000" w:themeColor="text1"/>
        </w:rPr>
        <w:t>).</w:t>
      </w:r>
    </w:p>
    <w:p w14:paraId="28A125D0" w14:textId="77777777" w:rsidR="003552EC" w:rsidRPr="00940517" w:rsidRDefault="63C35DC4" w:rsidP="0E36A200">
      <w:r w:rsidRPr="00940517">
        <w:rPr>
          <w:rFonts w:cs="Arial"/>
          <w:color w:val="000000" w:themeColor="text1"/>
        </w:rPr>
        <w:t xml:space="preserve">In March 2021, the SBE approved </w:t>
      </w:r>
      <w:r w:rsidRPr="00940517">
        <w:t>that for the 2020–21 school year LEAs be allowed to use the most viable option for assessment in their local context, including the Smarter Balanced Summative Assessments and California Alternative Assessments for English Language Arts and mathematics, or other diagnostic, benchmark, or interim assessments that meet specified criteria.</w:t>
      </w:r>
    </w:p>
    <w:p w14:paraId="49346205" w14:textId="51571895" w:rsidR="003552EC" w:rsidRPr="00940517" w:rsidRDefault="63C35DC4" w:rsidP="0E36A200">
      <w:pPr>
        <w:spacing w:after="240"/>
      </w:pPr>
      <w:r w:rsidRPr="00940517">
        <w:t>(</w:t>
      </w:r>
      <w:hyperlink r:id="rId132">
        <w:r w:rsidRPr="00940517">
          <w:rPr>
            <w:rStyle w:val="Hyperlink"/>
          </w:rPr>
          <w:t>https://www.cde.ca.gov/be/ag/ag/yr21/documents/mar21item02addendum.docx</w:t>
        </w:r>
      </w:hyperlink>
      <w:r w:rsidRPr="00940517">
        <w:t>).</w:t>
      </w:r>
    </w:p>
    <w:p w14:paraId="1BC864A2" w14:textId="3DAF2FAD" w:rsidR="003E4DF7" w:rsidRPr="00940517" w:rsidRDefault="17406D41" w:rsidP="00AF436F">
      <w:pPr>
        <w:pStyle w:val="Heading2"/>
      </w:pPr>
      <w:r w:rsidRPr="00940517">
        <w:lastRenderedPageBreak/>
        <w:t>Fiscal Analysis (as appropriate)</w:t>
      </w:r>
    </w:p>
    <w:p w14:paraId="1B72676F" w14:textId="77777777" w:rsidR="00AB5E17" w:rsidRPr="00940517" w:rsidRDefault="2027846B" w:rsidP="00AB5E17">
      <w:pPr>
        <w:spacing w:after="240"/>
        <w:contextualSpacing/>
        <w:rPr>
          <w:rFonts w:cs="Arial"/>
        </w:rPr>
      </w:pPr>
      <w:r w:rsidRPr="00940517">
        <w:rPr>
          <w:rFonts w:cs="Arial"/>
        </w:rPr>
        <w:t>California’s total kindergarten through grade twelve funding from the 2021–22 California Budget Act is $123 billion:</w:t>
      </w:r>
    </w:p>
    <w:p w14:paraId="0EF6D6D5" w14:textId="77777777" w:rsidR="00AB5E17" w:rsidRPr="00940517" w:rsidRDefault="2027846B" w:rsidP="00F13890">
      <w:pPr>
        <w:pStyle w:val="ListParagraph"/>
        <w:numPr>
          <w:ilvl w:val="0"/>
          <w:numId w:val="4"/>
        </w:numPr>
        <w:spacing w:after="240"/>
        <w:rPr>
          <w:rFonts w:cs="Arial"/>
        </w:rPr>
      </w:pPr>
      <w:r w:rsidRPr="00940517">
        <w:rPr>
          <w:rFonts w:cs="Arial"/>
        </w:rPr>
        <w:t>State: $67.6 billion (54.9 percent)</w:t>
      </w:r>
    </w:p>
    <w:p w14:paraId="2E9C6420" w14:textId="77777777" w:rsidR="00AB5E17" w:rsidRPr="00940517" w:rsidRDefault="2027846B" w:rsidP="00F13890">
      <w:pPr>
        <w:pStyle w:val="ListParagraph"/>
        <w:numPr>
          <w:ilvl w:val="0"/>
          <w:numId w:val="4"/>
        </w:numPr>
        <w:spacing w:after="240"/>
        <w:rPr>
          <w:rFonts w:cs="Arial"/>
        </w:rPr>
      </w:pPr>
      <w:r w:rsidRPr="00940517">
        <w:rPr>
          <w:rFonts w:cs="Arial"/>
        </w:rPr>
        <w:t>Local: $36.6 billion (29.8 percent)</w:t>
      </w:r>
    </w:p>
    <w:p w14:paraId="40B9E2B0" w14:textId="77777777" w:rsidR="00AB5E17" w:rsidRPr="00940517" w:rsidRDefault="2027846B" w:rsidP="00F13890">
      <w:pPr>
        <w:pStyle w:val="ListParagraph"/>
        <w:numPr>
          <w:ilvl w:val="0"/>
          <w:numId w:val="4"/>
        </w:numPr>
        <w:spacing w:after="240"/>
        <w:rPr>
          <w:rFonts w:cs="Arial"/>
        </w:rPr>
      </w:pPr>
      <w:r w:rsidRPr="00940517">
        <w:rPr>
          <w:rFonts w:cs="Arial"/>
        </w:rPr>
        <w:t>Federal: $18.8 billion (15.3 percent)</w:t>
      </w:r>
    </w:p>
    <w:p w14:paraId="363A4338" w14:textId="363AAC3F" w:rsidR="00AB5E17" w:rsidRPr="00940517" w:rsidRDefault="2027846B" w:rsidP="00AB5E17">
      <w:pPr>
        <w:spacing w:after="240"/>
        <w:contextualSpacing/>
        <w:rPr>
          <w:rFonts w:cs="Arial"/>
        </w:rPr>
      </w:pPr>
      <w:proofErr w:type="gramStart"/>
      <w:r w:rsidRPr="00940517">
        <w:rPr>
          <w:rFonts w:cs="Arial"/>
        </w:rPr>
        <w:t>The Every</w:t>
      </w:r>
      <w:proofErr w:type="gramEnd"/>
      <w:r w:rsidRPr="00940517">
        <w:rPr>
          <w:rFonts w:cs="Arial"/>
        </w:rPr>
        <w:t xml:space="preserve"> Student Succeeds Act funds are a portion of the total federal funding amount.</w:t>
      </w:r>
    </w:p>
    <w:p w14:paraId="75AC34EC" w14:textId="77777777" w:rsidR="00D10292" w:rsidRPr="00940517" w:rsidRDefault="3101BC18" w:rsidP="00AF436F">
      <w:pPr>
        <w:pStyle w:val="Heading2"/>
      </w:pPr>
      <w:r w:rsidRPr="00940517">
        <w:t>Attachment(s)</w:t>
      </w:r>
    </w:p>
    <w:p w14:paraId="6A773BDE" w14:textId="601B84D9" w:rsidR="004B7739" w:rsidRPr="00940517" w:rsidRDefault="3E33DCC6" w:rsidP="006A2F04">
      <w:pPr>
        <w:pStyle w:val="ListParagraph"/>
        <w:numPr>
          <w:ilvl w:val="0"/>
          <w:numId w:val="4"/>
        </w:numPr>
        <w:spacing w:after="240"/>
        <w:rPr>
          <w:rFonts w:cs="Arial"/>
        </w:rPr>
      </w:pPr>
      <w:r w:rsidRPr="00940517">
        <w:rPr>
          <w:rFonts w:cs="Arial"/>
        </w:rPr>
        <w:t xml:space="preserve">Attachment </w:t>
      </w:r>
      <w:r w:rsidR="5EC66450" w:rsidRPr="00940517">
        <w:rPr>
          <w:rFonts w:cs="Arial"/>
        </w:rPr>
        <w:t>1</w:t>
      </w:r>
      <w:r w:rsidRPr="00940517">
        <w:rPr>
          <w:rFonts w:cs="Arial"/>
        </w:rPr>
        <w:t xml:space="preserve">: </w:t>
      </w:r>
      <w:r w:rsidR="56D58F34" w:rsidRPr="00940517">
        <w:rPr>
          <w:rFonts w:cs="Arial"/>
        </w:rPr>
        <w:t xml:space="preserve">Updated </w:t>
      </w:r>
      <w:r w:rsidR="7DB85751" w:rsidRPr="00940517">
        <w:rPr>
          <w:rFonts w:cs="Arial"/>
        </w:rPr>
        <w:t xml:space="preserve">California School </w:t>
      </w:r>
      <w:r w:rsidR="56D58F34" w:rsidRPr="00940517">
        <w:rPr>
          <w:rFonts w:cs="Arial"/>
        </w:rPr>
        <w:t>Dashboard Workplan (</w:t>
      </w:r>
      <w:r w:rsidR="64867634" w:rsidRPr="00940517">
        <w:rPr>
          <w:rFonts w:cs="Arial"/>
        </w:rPr>
        <w:t>1</w:t>
      </w:r>
      <w:r w:rsidR="27016060" w:rsidRPr="00940517">
        <w:rPr>
          <w:rFonts w:cs="Arial"/>
        </w:rPr>
        <w:t>5</w:t>
      </w:r>
      <w:r w:rsidR="56D58F34" w:rsidRPr="00940517">
        <w:rPr>
          <w:rFonts w:cs="Arial"/>
        </w:rPr>
        <w:t xml:space="preserve"> </w:t>
      </w:r>
      <w:r w:rsidR="137E68B7" w:rsidRPr="00940517">
        <w:rPr>
          <w:rFonts w:cs="Arial"/>
        </w:rPr>
        <w:t>P</w:t>
      </w:r>
      <w:r w:rsidR="56D58F34" w:rsidRPr="00940517">
        <w:rPr>
          <w:rFonts w:cs="Arial"/>
        </w:rPr>
        <w:t>ages)</w:t>
      </w:r>
    </w:p>
    <w:p w14:paraId="5E054806" w14:textId="1197A501" w:rsidR="00AE5F79" w:rsidRPr="00940517" w:rsidRDefault="46D394A6" w:rsidP="006A2F04">
      <w:pPr>
        <w:pStyle w:val="ListParagraph"/>
        <w:numPr>
          <w:ilvl w:val="0"/>
          <w:numId w:val="4"/>
        </w:numPr>
        <w:spacing w:after="240"/>
        <w:rPr>
          <w:rFonts w:cs="Arial"/>
          <w:strike/>
        </w:rPr>
      </w:pPr>
      <w:r w:rsidRPr="00940517">
        <w:rPr>
          <w:rFonts w:cs="Arial"/>
        </w:rPr>
        <w:t>Attachment</w:t>
      </w:r>
      <w:r w:rsidR="28A5ED7C" w:rsidRPr="00940517">
        <w:rPr>
          <w:rFonts w:cs="Arial"/>
        </w:rPr>
        <w:t xml:space="preserve"> </w:t>
      </w:r>
      <w:r w:rsidR="1E61144E" w:rsidRPr="00940517">
        <w:rPr>
          <w:rFonts w:cs="Arial"/>
        </w:rPr>
        <w:t>2</w:t>
      </w:r>
      <w:r w:rsidRPr="00940517">
        <w:rPr>
          <w:rFonts w:cs="Arial"/>
        </w:rPr>
        <w:t>: California School Dashboard Educational Outreach Activities</w:t>
      </w:r>
      <w:r w:rsidR="3CA2EB46" w:rsidRPr="00940517">
        <w:rPr>
          <w:rFonts w:cs="Arial"/>
        </w:rPr>
        <w:t xml:space="preserve"> </w:t>
      </w:r>
      <w:r w:rsidR="006E5AC7" w:rsidRPr="00940517">
        <w:br/>
      </w:r>
      <w:r w:rsidR="4BCFF10C" w:rsidRPr="00940517">
        <w:rPr>
          <w:rFonts w:cs="Arial"/>
        </w:rPr>
        <w:t>(</w:t>
      </w:r>
      <w:r w:rsidR="60FC7579" w:rsidRPr="00940517">
        <w:rPr>
          <w:rFonts w:cs="Arial"/>
        </w:rPr>
        <w:t>7</w:t>
      </w:r>
      <w:r w:rsidRPr="00940517">
        <w:rPr>
          <w:rFonts w:cs="Arial"/>
        </w:rPr>
        <w:t xml:space="preserve"> Pages)</w:t>
      </w:r>
    </w:p>
    <w:p w14:paraId="01A1E212" w14:textId="33BDC158" w:rsidR="00814988" w:rsidRPr="00940517" w:rsidRDefault="1C44911B" w:rsidP="0E36A200">
      <w:pPr>
        <w:pStyle w:val="ListParagraph"/>
        <w:numPr>
          <w:ilvl w:val="0"/>
          <w:numId w:val="4"/>
        </w:numPr>
        <w:spacing w:after="240"/>
        <w:rPr>
          <w:rFonts w:cs="Arial"/>
          <w:strike/>
        </w:rPr>
      </w:pPr>
      <w:r w:rsidRPr="00940517">
        <w:rPr>
          <w:rFonts w:cs="Arial"/>
        </w:rPr>
        <w:t>Attachment 3:</w:t>
      </w:r>
      <w:r w:rsidR="4E531E50" w:rsidRPr="00940517">
        <w:rPr>
          <w:rFonts w:cs="Arial"/>
        </w:rPr>
        <w:t xml:space="preserve"> </w:t>
      </w:r>
      <w:r w:rsidR="137E68B7" w:rsidRPr="00940517">
        <w:rPr>
          <w:rFonts w:cs="Arial"/>
        </w:rPr>
        <w:t>Dashboard Alternative School Status Waiver (</w:t>
      </w:r>
      <w:r w:rsidR="4172534E" w:rsidRPr="00940517">
        <w:rPr>
          <w:rFonts w:cs="Arial"/>
        </w:rPr>
        <w:t>2</w:t>
      </w:r>
      <w:r w:rsidR="137E68B7" w:rsidRPr="00940517">
        <w:rPr>
          <w:rFonts w:cs="Arial"/>
        </w:rPr>
        <w:t xml:space="preserve"> Pages)</w:t>
      </w:r>
    </w:p>
    <w:p w14:paraId="5CE17947" w14:textId="75CB08AA" w:rsidR="002C7129" w:rsidRPr="00940517" w:rsidRDefault="56FCFA83" w:rsidP="0E36A200">
      <w:pPr>
        <w:pStyle w:val="ListParagraph"/>
        <w:numPr>
          <w:ilvl w:val="0"/>
          <w:numId w:val="4"/>
        </w:numPr>
        <w:spacing w:after="240"/>
        <w:rPr>
          <w:rFonts w:cs="Arial"/>
        </w:rPr>
      </w:pPr>
      <w:r w:rsidRPr="00940517">
        <w:rPr>
          <w:rFonts w:cs="Arial"/>
        </w:rPr>
        <w:t xml:space="preserve">Attachment 4: </w:t>
      </w:r>
      <w:r w:rsidR="5742898A" w:rsidRPr="00940517">
        <w:rPr>
          <w:rFonts w:cs="Arial"/>
        </w:rPr>
        <w:t>California’s 2021–22 Addendum Template for the Consolidated State Plan due to COVID-19 (</w:t>
      </w:r>
      <w:r w:rsidR="4E531E50" w:rsidRPr="00940517">
        <w:rPr>
          <w:rFonts w:cs="Arial"/>
        </w:rPr>
        <w:t>1</w:t>
      </w:r>
      <w:r w:rsidR="007D6D7C" w:rsidRPr="00940517">
        <w:rPr>
          <w:rFonts w:cs="Arial"/>
        </w:rPr>
        <w:t>1</w:t>
      </w:r>
      <w:r w:rsidR="5742898A" w:rsidRPr="00940517">
        <w:rPr>
          <w:rFonts w:cs="Arial"/>
        </w:rPr>
        <w:t xml:space="preserve"> Pages</w:t>
      </w:r>
      <w:r w:rsidR="4E531E50" w:rsidRPr="00940517">
        <w:rPr>
          <w:rFonts w:cs="Arial"/>
        </w:rPr>
        <w:t>)</w:t>
      </w:r>
    </w:p>
    <w:p w14:paraId="47F3DD9C" w14:textId="77777777" w:rsidR="00753B1B" w:rsidRPr="00940517" w:rsidRDefault="00753B1B" w:rsidP="002C7129">
      <w:pPr>
        <w:spacing w:after="240"/>
        <w:rPr>
          <w:rFonts w:cs="Arial"/>
          <w:strike/>
        </w:rPr>
      </w:pPr>
    </w:p>
    <w:p w14:paraId="2AF2EEF8" w14:textId="4FE2B984" w:rsidR="0023184B" w:rsidRPr="00940517" w:rsidRDefault="0023184B" w:rsidP="0023184B">
      <w:pPr>
        <w:spacing w:after="240"/>
        <w:rPr>
          <w:rFonts w:cs="Arial"/>
          <w:strike/>
          <w:rPrChange w:id="14" w:author="Sara Pietrowski" w:date="2022-02-08T11:32:00Z">
            <w:rPr/>
          </w:rPrChange>
        </w:rPr>
        <w:sectPr w:rsidR="0023184B" w:rsidRPr="00940517" w:rsidSect="001D3568">
          <w:headerReference w:type="default" r:id="rId133"/>
          <w:footerReference w:type="default" r:id="rId134"/>
          <w:headerReference w:type="first" r:id="rId135"/>
          <w:footerReference w:type="first" r:id="rId136"/>
          <w:type w:val="continuous"/>
          <w:pgSz w:w="12240" w:h="15840"/>
          <w:pgMar w:top="1440" w:right="1440" w:bottom="1440" w:left="1440" w:header="720" w:footer="720" w:gutter="0"/>
          <w:pgNumType w:start="1"/>
          <w:cols w:space="720"/>
          <w:titlePg/>
          <w:docGrid w:linePitch="360"/>
        </w:sectPr>
        <w:pPrChange w:id="15" w:author="Sara Pietrowski" w:date="2022-02-08T11:32:00Z">
          <w:pPr>
            <w:spacing w:after="240"/>
            <w:ind w:left="360"/>
          </w:pPr>
        </w:pPrChange>
      </w:pPr>
    </w:p>
    <w:p w14:paraId="44C67729" w14:textId="77777777" w:rsidR="00462132" w:rsidRPr="00940517" w:rsidRDefault="00F1274F" w:rsidP="00014846">
      <w:pPr>
        <w:pStyle w:val="Heading2"/>
      </w:pPr>
      <w:r w:rsidRPr="00940517">
        <w:lastRenderedPageBreak/>
        <w:t>Attachment 1</w:t>
      </w:r>
    </w:p>
    <w:p w14:paraId="0CD64AAC" w14:textId="6D1F6EDA" w:rsidR="0079052C" w:rsidRPr="00940517" w:rsidRDefault="00A32774" w:rsidP="00014846">
      <w:pPr>
        <w:pStyle w:val="Heading3"/>
      </w:pPr>
      <w:r w:rsidRPr="00940517">
        <w:t xml:space="preserve">2022 </w:t>
      </w:r>
      <w:r w:rsidR="00B60805" w:rsidRPr="00940517">
        <w:t xml:space="preserve">California School </w:t>
      </w:r>
      <w:r w:rsidR="006047CE" w:rsidRPr="00940517">
        <w:t>Dashboard Workplan</w:t>
      </w:r>
    </w:p>
    <w:p w14:paraId="323311E6" w14:textId="611165F2" w:rsidR="00AF787A" w:rsidRPr="00940517" w:rsidRDefault="00AF787A" w:rsidP="00EC240B">
      <w:pPr>
        <w:spacing w:after="100" w:afterAutospacing="1"/>
        <w:rPr>
          <w:rFonts w:cs="Arial"/>
        </w:rPr>
      </w:pPr>
      <w:r w:rsidRPr="00940517">
        <w:rPr>
          <w:rFonts w:cs="Arial"/>
        </w:rPr>
        <w:t>This attachment provides an overview of the accountability workplan for 2022 and issues to consider for future years.</w:t>
      </w:r>
    </w:p>
    <w:p w14:paraId="02D4556A" w14:textId="0C01015E" w:rsidR="001164BA" w:rsidRPr="00940517" w:rsidRDefault="65A1CD0C" w:rsidP="0E36A200">
      <w:pPr>
        <w:spacing w:after="100" w:afterAutospacing="1"/>
        <w:rPr>
          <w:rFonts w:cs="Arial"/>
        </w:rPr>
      </w:pPr>
      <w:r w:rsidRPr="00940517">
        <w:rPr>
          <w:rFonts w:cs="Arial"/>
        </w:rPr>
        <w:t xml:space="preserve">With the continuance of the COVID-19 pandemic over the past two years, </w:t>
      </w:r>
      <w:r w:rsidR="16155DE9" w:rsidRPr="00940517">
        <w:rPr>
          <w:rFonts w:cs="Arial"/>
        </w:rPr>
        <w:t xml:space="preserve">California’s accountability system </w:t>
      </w:r>
      <w:r w:rsidR="315B2A39" w:rsidRPr="00940517">
        <w:rPr>
          <w:rFonts w:cs="Arial"/>
        </w:rPr>
        <w:t>was paused in response</w:t>
      </w:r>
      <w:r w:rsidRPr="00940517">
        <w:rPr>
          <w:rFonts w:cs="Arial"/>
        </w:rPr>
        <w:t xml:space="preserve"> to </w:t>
      </w:r>
      <w:r w:rsidR="2B5C72E8" w:rsidRPr="00940517">
        <w:rPr>
          <w:rFonts w:cs="Arial"/>
        </w:rPr>
        <w:t xml:space="preserve">the </w:t>
      </w:r>
      <w:r w:rsidRPr="00940517">
        <w:rPr>
          <w:rFonts w:cs="Arial"/>
        </w:rPr>
        <w:t xml:space="preserve">federal </w:t>
      </w:r>
      <w:r w:rsidR="2D9190B1" w:rsidRPr="00940517">
        <w:rPr>
          <w:rFonts w:cs="Arial"/>
        </w:rPr>
        <w:t>waiver</w:t>
      </w:r>
      <w:r w:rsidR="1ADC8D93" w:rsidRPr="00940517">
        <w:rPr>
          <w:rFonts w:cs="Arial"/>
        </w:rPr>
        <w:t xml:space="preserve"> of accountability requirements and accompanying </w:t>
      </w:r>
      <w:r w:rsidRPr="00940517">
        <w:rPr>
          <w:rFonts w:cs="Arial"/>
        </w:rPr>
        <w:t>state law</w:t>
      </w:r>
      <w:r w:rsidR="315B2A39" w:rsidRPr="00940517">
        <w:rPr>
          <w:rFonts w:cs="Arial"/>
        </w:rPr>
        <w:t xml:space="preserve"> that provided relief from these requirements</w:t>
      </w:r>
      <w:r w:rsidRPr="00940517">
        <w:rPr>
          <w:rFonts w:cs="Arial"/>
        </w:rPr>
        <w:t>.</w:t>
      </w:r>
      <w:r w:rsidR="63B8279D" w:rsidRPr="00940517">
        <w:rPr>
          <w:rFonts w:cs="Arial"/>
        </w:rPr>
        <w:t xml:space="preserve"> </w:t>
      </w:r>
      <w:r w:rsidR="09F3661C" w:rsidRPr="00940517">
        <w:rPr>
          <w:rFonts w:cs="Arial"/>
        </w:rPr>
        <w:t>In 2020 and 2021, t</w:t>
      </w:r>
      <w:r w:rsidR="63B8279D" w:rsidRPr="00940517">
        <w:rPr>
          <w:rFonts w:cs="Arial"/>
        </w:rPr>
        <w:t xml:space="preserve">he U.S. Department of Education (ED) </w:t>
      </w:r>
      <w:r w:rsidR="315B2A39" w:rsidRPr="00940517">
        <w:rPr>
          <w:rFonts w:cs="Arial"/>
        </w:rPr>
        <w:t xml:space="preserve">allowed flexibility of </w:t>
      </w:r>
      <w:r w:rsidR="63B8279D" w:rsidRPr="00940517">
        <w:rPr>
          <w:rFonts w:cs="Arial"/>
        </w:rPr>
        <w:t xml:space="preserve">certain accountability requirements </w:t>
      </w:r>
      <w:r w:rsidR="315B2A39" w:rsidRPr="00940517">
        <w:rPr>
          <w:rFonts w:cs="Arial"/>
        </w:rPr>
        <w:t xml:space="preserve">under the Elementary and Secondary Education Act (ESEA) </w:t>
      </w:r>
      <w:r w:rsidR="63B8279D" w:rsidRPr="00940517">
        <w:rPr>
          <w:rFonts w:cs="Arial"/>
        </w:rPr>
        <w:t xml:space="preserve">through streamlined </w:t>
      </w:r>
      <w:r w:rsidR="3C7EE69C" w:rsidRPr="00940517">
        <w:rPr>
          <w:rFonts w:cs="Arial"/>
        </w:rPr>
        <w:t>waivers</w:t>
      </w:r>
      <w:r w:rsidR="63B8279D" w:rsidRPr="00940517">
        <w:rPr>
          <w:rFonts w:cs="Arial"/>
        </w:rPr>
        <w:t xml:space="preserve">. </w:t>
      </w:r>
      <w:r w:rsidR="21A7C736" w:rsidRPr="00940517">
        <w:rPr>
          <w:rFonts w:cs="Arial"/>
        </w:rPr>
        <w:t xml:space="preserve">In 2022, the ED </w:t>
      </w:r>
      <w:r w:rsidR="6990EFC6" w:rsidRPr="00940517">
        <w:rPr>
          <w:rFonts w:cs="Arial"/>
        </w:rPr>
        <w:t xml:space="preserve">is </w:t>
      </w:r>
      <w:r w:rsidR="30FA2EEF" w:rsidRPr="00940517">
        <w:rPr>
          <w:rFonts w:cs="Arial"/>
        </w:rPr>
        <w:t xml:space="preserve">allowing for </w:t>
      </w:r>
      <w:r w:rsidR="2D9190B1" w:rsidRPr="00940517">
        <w:rPr>
          <w:rFonts w:cs="Arial"/>
        </w:rPr>
        <w:t>one-year and longer-term changes</w:t>
      </w:r>
      <w:r w:rsidR="21A7C736" w:rsidRPr="00940517">
        <w:rPr>
          <w:rFonts w:cs="Arial"/>
        </w:rPr>
        <w:t xml:space="preserve"> of </w:t>
      </w:r>
      <w:r w:rsidR="3C7EE69C" w:rsidRPr="00940517">
        <w:rPr>
          <w:rFonts w:cs="Arial"/>
        </w:rPr>
        <w:t xml:space="preserve">certain accountability requirements </w:t>
      </w:r>
      <w:r w:rsidR="0A931CB0" w:rsidRPr="00940517">
        <w:rPr>
          <w:rFonts w:cs="Arial"/>
        </w:rPr>
        <w:t xml:space="preserve">through </w:t>
      </w:r>
      <w:r w:rsidR="0A8E1A85" w:rsidRPr="00940517">
        <w:rPr>
          <w:rFonts w:cs="Arial"/>
        </w:rPr>
        <w:t>the</w:t>
      </w:r>
      <w:r w:rsidR="0A931CB0" w:rsidRPr="00940517">
        <w:rPr>
          <w:rFonts w:cs="Arial"/>
        </w:rPr>
        <w:t xml:space="preserve"> </w:t>
      </w:r>
      <w:r w:rsidR="0A8E1A85" w:rsidRPr="00940517">
        <w:rPr>
          <w:rFonts w:cs="Arial"/>
        </w:rPr>
        <w:t xml:space="preserve">“2021–22 Template for Addendum to the ESEA Consolidated State Plan due to the </w:t>
      </w:r>
      <w:r w:rsidR="0A931CB0" w:rsidRPr="00940517">
        <w:rPr>
          <w:rFonts w:cs="Arial"/>
        </w:rPr>
        <w:t>COVID</w:t>
      </w:r>
      <w:r w:rsidR="73FF5D36" w:rsidRPr="00940517">
        <w:rPr>
          <w:rFonts w:cs="Arial"/>
        </w:rPr>
        <w:t>-19</w:t>
      </w:r>
      <w:r w:rsidR="0A8E1A85" w:rsidRPr="00940517">
        <w:rPr>
          <w:rFonts w:cs="Arial"/>
        </w:rPr>
        <w:t xml:space="preserve"> National Emergency</w:t>
      </w:r>
      <w:r w:rsidR="6990EFC6" w:rsidRPr="00940517">
        <w:rPr>
          <w:rFonts w:cs="Arial"/>
        </w:rPr>
        <w:t xml:space="preserve"> </w:t>
      </w:r>
      <w:r w:rsidR="3D552F21" w:rsidRPr="00940517">
        <w:rPr>
          <w:rFonts w:cs="Arial"/>
        </w:rPr>
        <w:t xml:space="preserve">Accordingly, the </w:t>
      </w:r>
      <w:r w:rsidR="6990EFC6" w:rsidRPr="00940517">
        <w:rPr>
          <w:rFonts w:cs="Arial"/>
        </w:rPr>
        <w:t>2022 California School Dashboard (Dashboard) W</w:t>
      </w:r>
      <w:r w:rsidR="3D552F21" w:rsidRPr="00940517">
        <w:rPr>
          <w:rFonts w:cs="Arial"/>
        </w:rPr>
        <w:t>orkplan may need to be adjusted based on action from ED</w:t>
      </w:r>
      <w:r w:rsidR="6990EFC6" w:rsidRPr="00940517">
        <w:rPr>
          <w:rFonts w:cs="Arial"/>
        </w:rPr>
        <w:t>. The California Department of Education (CDE) will follow up with the SBE at future meetings as needed to prepare for the 2022 Dashboard release in December 2022.</w:t>
      </w:r>
    </w:p>
    <w:p w14:paraId="4512CBF6" w14:textId="15A51D8C" w:rsidR="00EC240B" w:rsidRPr="00940517" w:rsidRDefault="2D9190B1" w:rsidP="0E36A200">
      <w:pPr>
        <w:spacing w:after="100" w:afterAutospacing="1"/>
        <w:rPr>
          <w:rFonts w:cs="Arial"/>
        </w:rPr>
      </w:pPr>
      <w:r w:rsidRPr="00940517">
        <w:rPr>
          <w:rFonts w:cs="Arial"/>
        </w:rPr>
        <w:t>At the state level</w:t>
      </w:r>
      <w:r w:rsidR="2B5C72E8" w:rsidRPr="00940517">
        <w:rPr>
          <w:rFonts w:cs="Arial"/>
        </w:rPr>
        <w:t>,</w:t>
      </w:r>
      <w:r w:rsidRPr="00940517">
        <w:rPr>
          <w:rFonts w:cs="Arial"/>
        </w:rPr>
        <w:t xml:space="preserve"> </w:t>
      </w:r>
      <w:r w:rsidR="65A1CD0C" w:rsidRPr="00940517">
        <w:rPr>
          <w:rFonts w:cs="Arial"/>
        </w:rPr>
        <w:t xml:space="preserve">Assembly Bill 130 </w:t>
      </w:r>
      <w:r w:rsidR="1ADC8D93" w:rsidRPr="00940517">
        <w:rPr>
          <w:rFonts w:cs="Arial"/>
        </w:rPr>
        <w:t xml:space="preserve">(Chapter 44, Statutes of 2021) </w:t>
      </w:r>
      <w:r w:rsidR="6990EFC6" w:rsidRPr="00940517">
        <w:rPr>
          <w:rFonts w:cs="Arial"/>
        </w:rPr>
        <w:t xml:space="preserve">restricts </w:t>
      </w:r>
      <w:r w:rsidR="65A1CD0C" w:rsidRPr="00940517">
        <w:rPr>
          <w:rFonts w:cs="Arial"/>
        </w:rPr>
        <w:t xml:space="preserve">the CDE to </w:t>
      </w:r>
      <w:r w:rsidR="66FF0AB8" w:rsidRPr="00940517">
        <w:t xml:space="preserve">only use performance data on the state </w:t>
      </w:r>
      <w:r w:rsidR="66FF0AB8" w:rsidRPr="00940517">
        <w:rPr>
          <w:rFonts w:cs="Arial"/>
        </w:rPr>
        <w:t>(i.e., Status only) and</w:t>
      </w:r>
      <w:r w:rsidR="66FF0AB8" w:rsidRPr="00940517">
        <w:t xml:space="preserve"> local indicators using data from the 2021–22 school year for purposes of identifying local educational agencies </w:t>
      </w:r>
      <w:r w:rsidRPr="00940517">
        <w:t xml:space="preserve">(LEAs) </w:t>
      </w:r>
      <w:r w:rsidR="66FF0AB8" w:rsidRPr="00940517">
        <w:t>for technical assistance or intervention (</w:t>
      </w:r>
      <w:r w:rsidR="75009CB8" w:rsidRPr="00940517">
        <w:t>n</w:t>
      </w:r>
      <w:r w:rsidR="66FF0AB8" w:rsidRPr="00940517">
        <w:t xml:space="preserve">ote: this is also referred to as eligibility for support). </w:t>
      </w:r>
      <w:r w:rsidR="65A1CD0C" w:rsidRPr="00940517">
        <w:rPr>
          <w:rFonts w:cs="Arial"/>
        </w:rPr>
        <w:t>While the Dashboard typically also reports Change (i.e., the difference from prior year data) and performance level colors, these data will not be reported</w:t>
      </w:r>
      <w:r w:rsidRPr="00940517">
        <w:rPr>
          <w:rFonts w:cs="Arial"/>
        </w:rPr>
        <w:t xml:space="preserve"> on the Dashboard</w:t>
      </w:r>
      <w:r w:rsidR="66FF0AB8" w:rsidRPr="00940517">
        <w:rPr>
          <w:rFonts w:cs="Arial"/>
        </w:rPr>
        <w:t xml:space="preserve"> due to the restrictions imposed by AB 130</w:t>
      </w:r>
      <w:r w:rsidR="65A1CD0C" w:rsidRPr="00940517">
        <w:rPr>
          <w:rFonts w:cs="Arial"/>
        </w:rPr>
        <w:t>.</w:t>
      </w:r>
      <w:r w:rsidRPr="00940517">
        <w:rPr>
          <w:rFonts w:cs="Arial"/>
        </w:rPr>
        <w:t xml:space="preserve"> </w:t>
      </w:r>
      <w:r w:rsidR="2B5C72E8" w:rsidRPr="00940517">
        <w:rPr>
          <w:rFonts w:cs="Arial"/>
        </w:rPr>
        <w:t>In absence of performance level colors on the Dashboard, t</w:t>
      </w:r>
      <w:r w:rsidRPr="00940517">
        <w:rPr>
          <w:rFonts w:cs="Arial"/>
        </w:rPr>
        <w:t xml:space="preserve">he CDE’s </w:t>
      </w:r>
      <w:r w:rsidR="2B5C72E8" w:rsidRPr="00940517">
        <w:rPr>
          <w:rFonts w:cs="Arial"/>
        </w:rPr>
        <w:t>public data</w:t>
      </w:r>
      <w:r w:rsidRPr="00940517">
        <w:rPr>
          <w:rFonts w:cs="Arial"/>
        </w:rPr>
        <w:t xml:space="preserve"> repor</w:t>
      </w:r>
      <w:r w:rsidR="2B5C72E8" w:rsidRPr="00940517">
        <w:rPr>
          <w:rFonts w:cs="Arial"/>
        </w:rPr>
        <w:t>t</w:t>
      </w:r>
      <w:r w:rsidRPr="00940517">
        <w:rPr>
          <w:rFonts w:cs="Arial"/>
        </w:rPr>
        <w:t xml:space="preserve">ing </w:t>
      </w:r>
      <w:r w:rsidR="2B5C72E8" w:rsidRPr="00940517">
        <w:rPr>
          <w:rFonts w:cs="Arial"/>
        </w:rPr>
        <w:t xml:space="preserve">website, </w:t>
      </w:r>
      <w:r w:rsidRPr="00940517">
        <w:rPr>
          <w:rFonts w:cs="Arial"/>
        </w:rPr>
        <w:t>DataQuest</w:t>
      </w:r>
      <w:r w:rsidR="2B5C72E8" w:rsidRPr="00940517">
        <w:rPr>
          <w:rFonts w:cs="Arial"/>
        </w:rPr>
        <w:t>, will continue to allow for multi-year comparisons of state data.</w:t>
      </w:r>
    </w:p>
    <w:p w14:paraId="2ECF3A4A" w14:textId="7380D3C6" w:rsidR="00136430" w:rsidRPr="00940517" w:rsidRDefault="65A1CD0C" w:rsidP="00CE15DC">
      <w:pPr>
        <w:spacing w:after="100" w:afterAutospacing="1"/>
        <w:rPr>
          <w:rFonts w:cs="Arial"/>
        </w:rPr>
      </w:pPr>
      <w:r w:rsidRPr="00940517">
        <w:rPr>
          <w:rFonts w:cs="Arial"/>
        </w:rPr>
        <w:t xml:space="preserve">With the reporting of Status only, the Dashboard will display, for each state indicator, five Status levels of performance (i.e., Very High, High, Medium, Low, and Very Low). These five levels are based on the cut scores that were set and approved by the SBE for each state indicator. </w:t>
      </w:r>
      <w:r w:rsidR="2B5C72E8" w:rsidRPr="00940517">
        <w:rPr>
          <w:rFonts w:cs="Arial"/>
        </w:rPr>
        <w:t xml:space="preserve">The CDE engaged in a discussion with </w:t>
      </w:r>
      <w:r w:rsidR="17FAD2F3" w:rsidRPr="00940517">
        <w:rPr>
          <w:rFonts w:cs="Arial"/>
        </w:rPr>
        <w:t>the</w:t>
      </w:r>
      <w:r w:rsidR="2B5C72E8" w:rsidRPr="00940517">
        <w:rPr>
          <w:rFonts w:cs="Arial"/>
        </w:rPr>
        <w:t xml:space="preserve"> Technical Design Group (TDG) on </w:t>
      </w:r>
      <w:r w:rsidR="4FB97BA4" w:rsidRPr="00940517">
        <w:rPr>
          <w:rFonts w:cs="Arial"/>
        </w:rPr>
        <w:t xml:space="preserve">October 14, 2021, as to </w:t>
      </w:r>
      <w:r w:rsidR="2B5C72E8" w:rsidRPr="00940517">
        <w:rPr>
          <w:rFonts w:cs="Arial"/>
        </w:rPr>
        <w:t xml:space="preserve">whether it would be appropriate to consider </w:t>
      </w:r>
      <w:proofErr w:type="gramStart"/>
      <w:r w:rsidR="2B5C72E8" w:rsidRPr="00940517">
        <w:rPr>
          <w:rFonts w:cs="Arial"/>
        </w:rPr>
        <w:t>making adjustments to</w:t>
      </w:r>
      <w:proofErr w:type="gramEnd"/>
      <w:r w:rsidR="2B5C72E8" w:rsidRPr="00940517">
        <w:rPr>
          <w:rFonts w:cs="Arial"/>
        </w:rPr>
        <w:t xml:space="preserve"> the Status cut scores for the 2022 Dashboard. </w:t>
      </w:r>
      <w:r w:rsidR="2B921932" w:rsidRPr="00940517">
        <w:rPr>
          <w:rFonts w:cs="Arial"/>
        </w:rPr>
        <w:t>After a robust discussion</w:t>
      </w:r>
      <w:r w:rsidR="511BF353" w:rsidRPr="00940517">
        <w:rPr>
          <w:rFonts w:cs="Arial"/>
        </w:rPr>
        <w:t>,</w:t>
      </w:r>
      <w:r w:rsidR="2B921932" w:rsidRPr="00940517">
        <w:rPr>
          <w:rFonts w:cs="Arial"/>
        </w:rPr>
        <w:t xml:space="preserve"> the </w:t>
      </w:r>
      <w:r w:rsidR="2B5C72E8" w:rsidRPr="00940517">
        <w:rPr>
          <w:rFonts w:cs="Arial"/>
        </w:rPr>
        <w:t xml:space="preserve">TDG members </w:t>
      </w:r>
      <w:r w:rsidR="2B921932" w:rsidRPr="00940517">
        <w:rPr>
          <w:rFonts w:cs="Arial"/>
        </w:rPr>
        <w:t xml:space="preserve">did not support adjusting the cut scores and indicated that </w:t>
      </w:r>
      <w:r w:rsidR="257BBDB8" w:rsidRPr="00940517">
        <w:rPr>
          <w:rFonts w:cs="Arial"/>
        </w:rPr>
        <w:t xml:space="preserve">doing so </w:t>
      </w:r>
      <w:r w:rsidR="12431184" w:rsidRPr="00940517">
        <w:rPr>
          <w:rFonts w:cs="Arial"/>
        </w:rPr>
        <w:t>in light of</w:t>
      </w:r>
      <w:r w:rsidR="257BBDB8" w:rsidRPr="00940517">
        <w:rPr>
          <w:rFonts w:cs="Arial"/>
        </w:rPr>
        <w:t xml:space="preserve"> </w:t>
      </w:r>
      <w:r w:rsidR="7E63C8A1" w:rsidRPr="00940517">
        <w:rPr>
          <w:rFonts w:cs="Arial"/>
        </w:rPr>
        <w:t xml:space="preserve">the pandemic </w:t>
      </w:r>
      <w:r w:rsidR="649905F6" w:rsidRPr="00940517">
        <w:rPr>
          <w:rFonts w:cs="Arial"/>
        </w:rPr>
        <w:t>may cause the system to lose credibility</w:t>
      </w:r>
      <w:r w:rsidR="7735374D" w:rsidRPr="00940517">
        <w:rPr>
          <w:rFonts w:cs="Arial"/>
        </w:rPr>
        <w:t>.</w:t>
      </w:r>
      <w:r w:rsidR="2B921932" w:rsidRPr="00940517">
        <w:rPr>
          <w:rFonts w:cs="Arial"/>
        </w:rPr>
        <w:t xml:space="preserve"> </w:t>
      </w:r>
      <w:r w:rsidR="3B26B7E7" w:rsidRPr="00940517">
        <w:rPr>
          <w:rFonts w:cs="Arial"/>
        </w:rPr>
        <w:t xml:space="preserve">The TDG members remained firm </w:t>
      </w:r>
      <w:r w:rsidR="1BFEB35F" w:rsidRPr="00940517">
        <w:rPr>
          <w:rFonts w:cs="Arial"/>
        </w:rPr>
        <w:t xml:space="preserve">that cut points be changed as </w:t>
      </w:r>
      <w:r w:rsidR="285482B3" w:rsidRPr="00940517">
        <w:rPr>
          <w:rFonts w:cs="Arial"/>
        </w:rPr>
        <w:t>infrequently</w:t>
      </w:r>
      <w:r w:rsidR="1BFEB35F" w:rsidRPr="00940517">
        <w:rPr>
          <w:rFonts w:cs="Arial"/>
        </w:rPr>
        <w:t xml:space="preserve"> as possible.</w:t>
      </w:r>
      <w:r w:rsidR="4FB97BA4" w:rsidRPr="00940517">
        <w:rPr>
          <w:rFonts w:cs="Arial"/>
        </w:rPr>
        <w:t xml:space="preserve"> </w:t>
      </w:r>
      <w:bookmarkStart w:id="16" w:name="_Hlk96091957"/>
      <w:r w:rsidR="554FEAAD" w:rsidRPr="00940517">
        <w:rPr>
          <w:rFonts w:cs="Arial"/>
        </w:rPr>
        <w:t xml:space="preserve">On February 18, 2022, the </w:t>
      </w:r>
      <w:r w:rsidR="008A54C7" w:rsidRPr="00940517">
        <w:rPr>
          <w:rFonts w:cs="Arial"/>
        </w:rPr>
        <w:t xml:space="preserve">California Practitioners Advisory Group (CPAG) also reviewed the </w:t>
      </w:r>
      <w:r w:rsidR="554FEAAD" w:rsidRPr="00940517">
        <w:rPr>
          <w:rFonts w:cs="Arial"/>
        </w:rPr>
        <w:t>question of re-setting Status cut scores. Many CPAG members noted that cut scores should not be re-set</w:t>
      </w:r>
      <w:r w:rsidR="008A54C7" w:rsidRPr="00940517">
        <w:rPr>
          <w:rFonts w:cs="Arial"/>
        </w:rPr>
        <w:t xml:space="preserve">, </w:t>
      </w:r>
      <w:r w:rsidR="554FEAAD" w:rsidRPr="00940517">
        <w:rPr>
          <w:rFonts w:cs="Arial"/>
        </w:rPr>
        <w:t xml:space="preserve">and </w:t>
      </w:r>
      <w:r w:rsidR="008A54C7" w:rsidRPr="00940517">
        <w:rPr>
          <w:rFonts w:cs="Arial"/>
        </w:rPr>
        <w:t xml:space="preserve">that </w:t>
      </w:r>
      <w:r w:rsidR="554FEAAD" w:rsidRPr="00940517">
        <w:rPr>
          <w:rFonts w:cs="Arial"/>
        </w:rPr>
        <w:t xml:space="preserve">lowering standards may not provide an accurate picture of what is occurring at schools. They also suggested that if re-setting does not occur, then the </w:t>
      </w:r>
      <w:r w:rsidR="008A54C7" w:rsidRPr="00940517">
        <w:rPr>
          <w:rFonts w:cs="Arial"/>
        </w:rPr>
        <w:t xml:space="preserve">CDE should </w:t>
      </w:r>
      <w:r w:rsidR="00EE5B21" w:rsidRPr="00940517">
        <w:rPr>
          <w:rFonts w:cs="Arial"/>
        </w:rPr>
        <w:t xml:space="preserve">communicate how </w:t>
      </w:r>
      <w:r w:rsidR="008A54C7" w:rsidRPr="00940517">
        <w:rPr>
          <w:rFonts w:cs="Arial"/>
        </w:rPr>
        <w:t xml:space="preserve">to interpret the Dashboard </w:t>
      </w:r>
      <w:r w:rsidR="554FEAAD" w:rsidRPr="00940517">
        <w:rPr>
          <w:rFonts w:cs="Arial"/>
        </w:rPr>
        <w:t xml:space="preserve">results </w:t>
      </w:r>
      <w:r w:rsidR="00EE5B21" w:rsidRPr="00940517">
        <w:rPr>
          <w:rFonts w:cs="Arial"/>
        </w:rPr>
        <w:t xml:space="preserve">in light </w:t>
      </w:r>
      <w:r w:rsidR="00EE5B21" w:rsidRPr="00940517">
        <w:rPr>
          <w:rFonts w:cs="Arial"/>
        </w:rPr>
        <w:lastRenderedPageBreak/>
        <w:t xml:space="preserve">of </w:t>
      </w:r>
      <w:r w:rsidR="00C74ECE" w:rsidRPr="00940517">
        <w:rPr>
          <w:rFonts w:cs="Arial"/>
        </w:rPr>
        <w:t xml:space="preserve">the ever-changing education landscape caused by </w:t>
      </w:r>
      <w:r w:rsidR="554FEAAD" w:rsidRPr="00940517">
        <w:rPr>
          <w:rFonts w:cs="Arial"/>
        </w:rPr>
        <w:t xml:space="preserve">COVID-19. </w:t>
      </w:r>
      <w:r w:rsidR="002940A9" w:rsidRPr="00940517">
        <w:rPr>
          <w:rFonts w:cs="Arial"/>
        </w:rPr>
        <w:t>However, o</w:t>
      </w:r>
      <w:r w:rsidR="554FEAAD" w:rsidRPr="00940517">
        <w:rPr>
          <w:rFonts w:cs="Arial"/>
        </w:rPr>
        <w:t>ther CPAG members expressed concern that if cut scores are not re-set, LEAs and schools may no longer view the Dashboard as a system that reports relevant data.</w:t>
      </w:r>
      <w:bookmarkEnd w:id="16"/>
    </w:p>
    <w:p w14:paraId="7D276C03" w14:textId="30493696" w:rsidR="00EC240B" w:rsidRPr="00940517" w:rsidRDefault="00EC240B" w:rsidP="00EC240B">
      <w:pPr>
        <w:spacing w:after="100" w:afterAutospacing="1"/>
        <w:rPr>
          <w:rFonts w:cs="Arial"/>
        </w:rPr>
      </w:pPr>
      <w:r w:rsidRPr="00940517">
        <w:rPr>
          <w:rFonts w:cs="Arial"/>
        </w:rPr>
        <w:t xml:space="preserve">The following sections provide brief descriptions of the six state indicators, including recent updates (if applicable), </w:t>
      </w:r>
      <w:r w:rsidR="007B2CD9" w:rsidRPr="00940517">
        <w:rPr>
          <w:rFonts w:cs="Arial"/>
        </w:rPr>
        <w:t xml:space="preserve">information on a rule applied to students with disabilities (SWDs), </w:t>
      </w:r>
      <w:r w:rsidRPr="00940517">
        <w:rPr>
          <w:rFonts w:cs="Arial"/>
        </w:rPr>
        <w:t xml:space="preserve">as well as information on </w:t>
      </w:r>
      <w:r w:rsidR="00731679" w:rsidRPr="00940517">
        <w:rPr>
          <w:rFonts w:cs="Arial"/>
        </w:rPr>
        <w:t>work specialized</w:t>
      </w:r>
      <w:r w:rsidR="00595D1F" w:rsidRPr="00940517">
        <w:rPr>
          <w:rFonts w:cs="Arial"/>
        </w:rPr>
        <w:t xml:space="preserve"> for alternative schools, </w:t>
      </w:r>
      <w:r w:rsidRPr="00940517">
        <w:rPr>
          <w:rFonts w:cs="Arial"/>
        </w:rPr>
        <w:t xml:space="preserve">local indicators, eligibility for support, </w:t>
      </w:r>
      <w:r w:rsidR="00BA3BF4" w:rsidRPr="00940517">
        <w:rPr>
          <w:rFonts w:cs="Arial"/>
        </w:rPr>
        <w:t xml:space="preserve">resources, </w:t>
      </w:r>
      <w:r w:rsidRPr="00940517">
        <w:rPr>
          <w:rFonts w:cs="Arial"/>
        </w:rPr>
        <w:t>and next steps for future Dashboards.</w:t>
      </w:r>
    </w:p>
    <w:p w14:paraId="6E1BA01A" w14:textId="2E75EDCB" w:rsidR="00D10A9E" w:rsidRPr="00940517" w:rsidRDefault="00D10A9E" w:rsidP="00315BEC">
      <w:pPr>
        <w:pStyle w:val="Heading3"/>
      </w:pPr>
      <w:r w:rsidRPr="00940517">
        <w:t>State Indicators</w:t>
      </w:r>
    </w:p>
    <w:p w14:paraId="47F4F447" w14:textId="34D9F790" w:rsidR="006C6D0F" w:rsidRPr="00940517" w:rsidRDefault="004D5F07" w:rsidP="00315BEC">
      <w:pPr>
        <w:pStyle w:val="Heading4"/>
      </w:pPr>
      <w:r w:rsidRPr="00940517">
        <w:t>Academic Indicator</w:t>
      </w:r>
    </w:p>
    <w:p w14:paraId="646E4626" w14:textId="5CCEFDAB" w:rsidR="009358A8" w:rsidRPr="00940517" w:rsidRDefault="00EC240B" w:rsidP="009358A8">
      <w:pPr>
        <w:spacing w:after="240"/>
        <w:rPr>
          <w:shd w:val="clear" w:color="auto" w:fill="FFFF00"/>
        </w:rPr>
      </w:pPr>
      <w:r w:rsidRPr="00940517">
        <w:rPr>
          <w:rFonts w:cs="Arial"/>
        </w:rPr>
        <w:t xml:space="preserve">The Academic Indicator is based on student performance on the Smarter Balanced Summative Assessments and the California Alternate Assessments in English language arts/literacy (ELA) and mathematics, which are administered each spring to students in grades three through eight and grade eleven. </w:t>
      </w:r>
      <w:r w:rsidR="00827D55" w:rsidRPr="00940517">
        <w:rPr>
          <w:rFonts w:cs="Arial"/>
        </w:rPr>
        <w:t xml:space="preserve">In </w:t>
      </w:r>
      <w:r w:rsidR="006D5177" w:rsidRPr="00940517">
        <w:rPr>
          <w:rFonts w:cs="Arial"/>
        </w:rPr>
        <w:t>September 2021</w:t>
      </w:r>
      <w:r w:rsidR="00827D55" w:rsidRPr="00940517">
        <w:rPr>
          <w:rFonts w:cs="Arial"/>
        </w:rPr>
        <w:t xml:space="preserve">, the SBE </w:t>
      </w:r>
      <w:r w:rsidR="009E08E8" w:rsidRPr="00940517">
        <w:rPr>
          <w:rFonts w:cs="Arial"/>
        </w:rPr>
        <w:t xml:space="preserve">approved the </w:t>
      </w:r>
      <w:r w:rsidR="00635CAE" w:rsidRPr="00940517">
        <w:rPr>
          <w:rFonts w:cs="Arial"/>
        </w:rPr>
        <w:t xml:space="preserve">continued use of adjusted </w:t>
      </w:r>
      <w:r w:rsidR="009E08E8" w:rsidRPr="00940517">
        <w:rPr>
          <w:rFonts w:cs="Arial"/>
        </w:rPr>
        <w:t xml:space="preserve">form </w:t>
      </w:r>
      <w:r w:rsidR="00635CAE" w:rsidRPr="00940517">
        <w:rPr>
          <w:rFonts w:cs="Arial"/>
        </w:rPr>
        <w:t>blueprints for the Smarter Balanced Summative Assessments in ELA and mathematics for the 2021–22 administration.</w:t>
      </w:r>
      <w:r w:rsidR="00DE6340" w:rsidRPr="00940517">
        <w:rPr>
          <w:rFonts w:ascii="Helvetica" w:hAnsi="Helvetica" w:cs="Helvetica"/>
          <w:shd w:val="clear" w:color="auto" w:fill="FFFFFF"/>
        </w:rPr>
        <w:t xml:space="preserve"> </w:t>
      </w:r>
      <w:r w:rsidR="00AF3549" w:rsidRPr="00940517">
        <w:rPr>
          <w:rFonts w:ascii="Helvetica" w:hAnsi="Helvetica" w:cs="Helvetica"/>
          <w:shd w:val="clear" w:color="auto" w:fill="FFFFFF"/>
        </w:rPr>
        <w:t>Due to the uncertainties brought on by the COVID-19 pandemic, t</w:t>
      </w:r>
      <w:r w:rsidR="000F585E" w:rsidRPr="00940517">
        <w:rPr>
          <w:rFonts w:ascii="Helvetica" w:hAnsi="Helvetica" w:cs="Helvetica"/>
          <w:shd w:val="clear" w:color="auto" w:fill="FFFFFF"/>
        </w:rPr>
        <w:t xml:space="preserve">hese adjusted </w:t>
      </w:r>
      <w:r w:rsidR="00DE6340" w:rsidRPr="00940517">
        <w:rPr>
          <w:rFonts w:ascii="Helvetica" w:hAnsi="Helvetica" w:cs="Helvetica"/>
          <w:shd w:val="clear" w:color="auto" w:fill="FFFFFF"/>
        </w:rPr>
        <w:t>form blueprints</w:t>
      </w:r>
      <w:r w:rsidR="000F585E" w:rsidRPr="00940517">
        <w:rPr>
          <w:rFonts w:ascii="Helvetica" w:hAnsi="Helvetica" w:cs="Helvetica"/>
          <w:shd w:val="clear" w:color="auto" w:fill="FFFFFF"/>
        </w:rPr>
        <w:t xml:space="preserve"> reduce</w:t>
      </w:r>
      <w:r w:rsidR="00DE6340" w:rsidRPr="00940517">
        <w:rPr>
          <w:rFonts w:ascii="Helvetica" w:hAnsi="Helvetica" w:cs="Helvetica"/>
          <w:shd w:val="clear" w:color="auto" w:fill="FFFFFF"/>
        </w:rPr>
        <w:t xml:space="preserve"> </w:t>
      </w:r>
      <w:r w:rsidR="000F585E" w:rsidRPr="00940517">
        <w:rPr>
          <w:rFonts w:ascii="Helvetica" w:hAnsi="Helvetica" w:cs="Helvetica"/>
          <w:shd w:val="clear" w:color="auto" w:fill="FFFFFF"/>
        </w:rPr>
        <w:t xml:space="preserve">student testing time and provide flexibility to LEAs. </w:t>
      </w:r>
      <w:r w:rsidR="005B6ABC" w:rsidRPr="00940517">
        <w:rPr>
          <w:rFonts w:ascii="Helvetica" w:hAnsi="Helvetica" w:cs="Helvetica"/>
          <w:shd w:val="clear" w:color="auto" w:fill="FFFFFF"/>
        </w:rPr>
        <w:t>Although</w:t>
      </w:r>
      <w:r w:rsidR="000F585E" w:rsidRPr="00940517">
        <w:rPr>
          <w:rFonts w:ascii="Helvetica" w:hAnsi="Helvetica" w:cs="Helvetica"/>
          <w:shd w:val="clear" w:color="auto" w:fill="FFFFFF"/>
        </w:rPr>
        <w:t xml:space="preserve"> these standardized tests are shorter, they still cover all academic standards at each grade level and provide essential data</w:t>
      </w:r>
      <w:r w:rsidR="005B6ABC" w:rsidRPr="00940517">
        <w:rPr>
          <w:rFonts w:ascii="Helvetica" w:hAnsi="Helvetica" w:cs="Helvetica"/>
          <w:shd w:val="clear" w:color="auto" w:fill="FFFFFF"/>
        </w:rPr>
        <w:t xml:space="preserve">. As noted by the Assessment and Development Administration Division in their </w:t>
      </w:r>
      <w:r w:rsidR="009358A8" w:rsidRPr="00940517">
        <w:rPr>
          <w:rFonts w:ascii="Helvetica" w:hAnsi="Helvetica" w:cs="Helvetica"/>
          <w:shd w:val="clear" w:color="auto" w:fill="FFFFFF"/>
        </w:rPr>
        <w:t>September 2021</w:t>
      </w:r>
      <w:r w:rsidR="005B6ABC" w:rsidRPr="00940517">
        <w:rPr>
          <w:rFonts w:ascii="Helvetica" w:hAnsi="Helvetica" w:cs="Helvetica"/>
          <w:shd w:val="clear" w:color="auto" w:fill="FFFFFF"/>
        </w:rPr>
        <w:t xml:space="preserve"> SBE Item </w:t>
      </w:r>
      <w:r w:rsidR="009358A8" w:rsidRPr="00940517">
        <w:rPr>
          <w:rFonts w:ascii="Helvetica" w:hAnsi="Helvetica" w:cs="Helvetica"/>
          <w:shd w:val="clear" w:color="auto" w:fill="FFFFFF"/>
        </w:rPr>
        <w:t>2</w:t>
      </w:r>
      <w:r w:rsidR="005B6ABC" w:rsidRPr="00940517">
        <w:rPr>
          <w:rFonts w:ascii="Helvetica" w:hAnsi="Helvetica" w:cs="Helvetica"/>
          <w:shd w:val="clear" w:color="auto" w:fill="FFFFFF"/>
        </w:rPr>
        <w:t xml:space="preserve">, the </w:t>
      </w:r>
      <w:r w:rsidR="009E08E8" w:rsidRPr="00940517">
        <w:rPr>
          <w:rFonts w:ascii="Helvetica" w:hAnsi="Helvetica" w:cs="Helvetica"/>
          <w:shd w:val="clear" w:color="auto" w:fill="FFFFFF"/>
        </w:rPr>
        <w:t xml:space="preserve">adjusted </w:t>
      </w:r>
      <w:r w:rsidR="00AA3E16" w:rsidRPr="00940517">
        <w:t xml:space="preserve">form blueprint </w:t>
      </w:r>
      <w:r w:rsidR="005B6ABC" w:rsidRPr="00940517">
        <w:t xml:space="preserve">is valid (compared to the longer form) as it </w:t>
      </w:r>
      <w:r w:rsidR="00AA3E16" w:rsidRPr="00940517">
        <w:t xml:space="preserve">has comparable proportional allocation of content across the claims while also maintaining the same proportion of depth of knowledge. </w:t>
      </w:r>
      <w:r w:rsidR="009358A8" w:rsidRPr="00940517">
        <w:rPr>
          <w:rFonts w:eastAsia="Arial" w:cs="Arial"/>
        </w:rPr>
        <w:t>The CDE will continue to perform analyses to evaluate the comparability of forms over time and ensure that they continued to be appropriate measures for use in California’s accountability system. The Smarter Balanced Assessment Consortium, of which California is a member, will continue to evaluate the content validity of the adjusted blueprints throughout the 2021–2022 administration and will propose further adjustments as needed for 2022–2023 and future years.</w:t>
      </w:r>
    </w:p>
    <w:p w14:paraId="21A436DE" w14:textId="251BA78C" w:rsidR="00EC240B" w:rsidRPr="00940517" w:rsidRDefault="00201AF4" w:rsidP="009E08E8">
      <w:pPr>
        <w:shd w:val="clear" w:color="auto" w:fill="FFFFFF"/>
        <w:spacing w:after="240"/>
        <w:rPr>
          <w:shd w:val="clear" w:color="auto" w:fill="FFFF00"/>
        </w:rPr>
      </w:pPr>
      <w:r w:rsidRPr="00940517">
        <w:rPr>
          <w:rFonts w:cs="Arial"/>
        </w:rPr>
        <w:t>For the purposes of the Dashboard, t</w:t>
      </w:r>
      <w:r w:rsidR="00EC240B" w:rsidRPr="00940517">
        <w:rPr>
          <w:rFonts w:cs="Arial"/>
        </w:rPr>
        <w:t>he results for ELA and mathematics are reported separately using the data obtained from the testing vendor, Educational Testing Service. The results are calculated using two factors: (1) meeting the federal 95 percent participation rate target and (2) calculating the distance in student scale scores from Level 3 (Standard Met), which is also known as the Distance from Standard (DFS). The Academic Indicator was last reported as part of the 2019 Dashboard, which included performance colors.</w:t>
      </w:r>
    </w:p>
    <w:p w14:paraId="3EDC8A3A" w14:textId="6E69A9B1" w:rsidR="00EC240B" w:rsidRPr="00940517" w:rsidRDefault="00EC240B" w:rsidP="009439EA">
      <w:pPr>
        <w:rPr>
          <w:rFonts w:cs="Arial"/>
        </w:rPr>
      </w:pPr>
      <w:bookmarkStart w:id="17" w:name="_Hlk94104148"/>
      <w:r w:rsidRPr="00940517">
        <w:rPr>
          <w:rFonts w:cs="Arial"/>
        </w:rPr>
        <w:t xml:space="preserve">While no updates have been made to this indicator since it was last released in 2019, it is important to note that the calculations will change this year to reflect the new participation rate penalty required by the ED. Specifically, the ED required that the </w:t>
      </w:r>
      <w:r w:rsidRPr="00940517">
        <w:rPr>
          <w:rFonts w:cs="Arial"/>
        </w:rPr>
        <w:lastRenderedPageBreak/>
        <w:t>Lowest Obtainable Scale Score (LOSS) be assigned for each student needed to bring the participate rate of each school, district, and student group up to 95 percent. Since this new methodology could result in LEAs and schools receiving a much lower Status level than in prior years, the CDE had begun notifying stakeholders and LEAs on this new ED directive. Over the next few months, the CDE will actively reach out to LEAs so that they can appropriately plan for the spring 2022 testing administration.</w:t>
      </w:r>
      <w:r w:rsidR="00B16DD8" w:rsidRPr="00940517">
        <w:rPr>
          <w:rFonts w:cs="Arial"/>
        </w:rPr>
        <w:t xml:space="preserve"> Additionally, a resource that details the impact of this change to the participation rate calculation is available on the </w:t>
      </w:r>
      <w:r w:rsidR="00F1380E" w:rsidRPr="00940517">
        <w:t xml:space="preserve">CDE Dashboard Flyers web page at </w:t>
      </w:r>
      <w:hyperlink r:id="rId137" w:tooltip="https://www.cde.ca.gov/ta/ac/cm/dashboardflyers.asp" w:history="1">
        <w:r w:rsidR="00F1380E" w:rsidRPr="00940517">
          <w:rPr>
            <w:rStyle w:val="Hyperlink"/>
          </w:rPr>
          <w:t>https://www.cde.ca.gov/ta/ac/cm/dashboardflyers.asp</w:t>
        </w:r>
      </w:hyperlink>
      <w:r w:rsidR="00F1380E" w:rsidRPr="00940517">
        <w:t>.</w:t>
      </w:r>
    </w:p>
    <w:bookmarkEnd w:id="17"/>
    <w:p w14:paraId="399E0716" w14:textId="2E85F386" w:rsidR="00315BEC" w:rsidRPr="00940517" w:rsidRDefault="00315BEC" w:rsidP="00315BEC">
      <w:pPr>
        <w:pStyle w:val="Heading4"/>
      </w:pPr>
      <w:r w:rsidRPr="00940517">
        <w:t>Chronic Absenteeism Rate</w:t>
      </w:r>
    </w:p>
    <w:p w14:paraId="7E82AC1B" w14:textId="348F78D8" w:rsidR="00315BEC" w:rsidRPr="00940517" w:rsidRDefault="00315BEC" w:rsidP="00315BEC">
      <w:pPr>
        <w:spacing w:after="240"/>
        <w:rPr>
          <w:rFonts w:cs="Arial"/>
        </w:rPr>
      </w:pPr>
      <w:r w:rsidRPr="00940517">
        <w:rPr>
          <w:rFonts w:cs="Arial"/>
        </w:rPr>
        <w:t>This indicator is reported for students in kindergarten through grade eight and is based on the number of students who were absent for 10 percent or more of the total instructional school days. Per approval of the state’s ESSA State Plan by the ED, this indicator serves as the “Other Academic Indicator” for kindergarten through grade eight schools. Given that attendance already factors heavily into graduation rates and performance on the CCI, the SBE excluded high schools from receiving this indicator. The Chronic Absenteeism Rate Indicator was last reported as part of the 2019 Dashboard, which included performance colors.</w:t>
      </w:r>
    </w:p>
    <w:p w14:paraId="76119532" w14:textId="201B1B73" w:rsidR="00315BEC" w:rsidRPr="00940517" w:rsidRDefault="00315BEC" w:rsidP="00315BEC">
      <w:pPr>
        <w:rPr>
          <w:rFonts w:cs="Arial"/>
        </w:rPr>
      </w:pPr>
      <w:r w:rsidRPr="00940517">
        <w:rPr>
          <w:rFonts w:cs="Arial"/>
        </w:rPr>
        <w:t xml:space="preserve">Given the school closures and the distance learning that occurred </w:t>
      </w:r>
      <w:r w:rsidR="00930660" w:rsidRPr="00940517">
        <w:rPr>
          <w:rFonts w:cs="Arial"/>
        </w:rPr>
        <w:t>in</w:t>
      </w:r>
      <w:r w:rsidRPr="00940517">
        <w:rPr>
          <w:rFonts w:cs="Arial"/>
        </w:rPr>
        <w:t xml:space="preserve"> schools across the state during the 2019–20 school year, the CDE determined that the 2019–20 chronic absenteeism data were not valid and reliable to be reported. In the following year in 2020–21, these data were reported in DataQuest and a direct link to this report was provided via the School Dashboard Additional Reports.</w:t>
      </w:r>
    </w:p>
    <w:p w14:paraId="17C94486" w14:textId="77777777" w:rsidR="00315BEC" w:rsidRPr="00940517" w:rsidRDefault="00315BEC" w:rsidP="00315BEC">
      <w:pPr>
        <w:pStyle w:val="Heading4"/>
      </w:pPr>
      <w:r w:rsidRPr="00940517">
        <w:t>College/Career Indicator</w:t>
      </w:r>
    </w:p>
    <w:p w14:paraId="1F56756A" w14:textId="6725519B" w:rsidR="00315BEC" w:rsidRPr="00940517" w:rsidRDefault="00315BEC" w:rsidP="00315BEC">
      <w:pPr>
        <w:spacing w:after="240"/>
        <w:rPr>
          <w:rFonts w:cs="Arial"/>
        </w:rPr>
      </w:pPr>
      <w:r w:rsidRPr="00940517">
        <w:rPr>
          <w:rFonts w:cs="Arial"/>
        </w:rPr>
        <w:t>The C</w:t>
      </w:r>
      <w:r w:rsidR="007220CC" w:rsidRPr="00940517">
        <w:rPr>
          <w:rFonts w:cs="Arial"/>
        </w:rPr>
        <w:t>ollege/Career Indicator (CCI)</w:t>
      </w:r>
      <w:r w:rsidRPr="00940517">
        <w:rPr>
          <w:rFonts w:cs="Arial"/>
        </w:rPr>
        <w:t xml:space="preserve"> is a high school indicator that reflects how many students graduate from high school prepared for college or a career. It includes a variety of college and career preparedness measures, such as course completion, college-level exams, and pre-apprenticeships. It was designed to encourage high schools to provide all students with a rigorous broad course of study that prepares them to leave high school with the ability to pursue college or a career. The college and career information used to calculate this indicator are sourced from data that LEAs and schools submit and certify in </w:t>
      </w:r>
      <w:r w:rsidR="00E5052E" w:rsidRPr="00940517">
        <w:rPr>
          <w:rFonts w:cs="Arial"/>
        </w:rPr>
        <w:t xml:space="preserve">the </w:t>
      </w:r>
      <w:r w:rsidRPr="00940517">
        <w:rPr>
          <w:rFonts w:cs="Arial"/>
        </w:rPr>
        <w:t>C</w:t>
      </w:r>
      <w:r w:rsidR="00E5052E" w:rsidRPr="00940517">
        <w:rPr>
          <w:rFonts w:cs="Arial"/>
        </w:rPr>
        <w:t xml:space="preserve">alifornia </w:t>
      </w:r>
      <w:r w:rsidR="00681762" w:rsidRPr="00940517">
        <w:rPr>
          <w:rFonts w:cs="Arial"/>
        </w:rPr>
        <w:t>Longitudinal</w:t>
      </w:r>
      <w:r w:rsidR="00E5052E" w:rsidRPr="00940517">
        <w:rPr>
          <w:rFonts w:cs="Arial"/>
        </w:rPr>
        <w:t xml:space="preserve"> Pupil Achievement Data Sy</w:t>
      </w:r>
      <w:r w:rsidR="00681762" w:rsidRPr="00940517">
        <w:rPr>
          <w:rFonts w:cs="Arial"/>
        </w:rPr>
        <w:t>s</w:t>
      </w:r>
      <w:r w:rsidR="00E5052E" w:rsidRPr="00940517">
        <w:rPr>
          <w:rFonts w:cs="Arial"/>
        </w:rPr>
        <w:t>tem</w:t>
      </w:r>
      <w:r w:rsidR="00681762" w:rsidRPr="00940517">
        <w:rPr>
          <w:rFonts w:cs="Arial"/>
        </w:rPr>
        <w:t xml:space="preserve"> (C</w:t>
      </w:r>
      <w:r w:rsidRPr="00940517">
        <w:rPr>
          <w:rFonts w:cs="Arial"/>
        </w:rPr>
        <w:t>ALPADS</w:t>
      </w:r>
      <w:r w:rsidR="00681762" w:rsidRPr="00940517">
        <w:rPr>
          <w:rFonts w:cs="Arial"/>
        </w:rPr>
        <w:t>)</w:t>
      </w:r>
      <w:r w:rsidRPr="00940517">
        <w:rPr>
          <w:rFonts w:cs="Arial"/>
        </w:rPr>
        <w:t xml:space="preserve"> or are received from testing vendors. The </w:t>
      </w:r>
      <w:r w:rsidR="006E0F01" w:rsidRPr="00940517">
        <w:rPr>
          <w:rFonts w:cs="Arial"/>
        </w:rPr>
        <w:t>CCI</w:t>
      </w:r>
      <w:r w:rsidRPr="00940517">
        <w:rPr>
          <w:rFonts w:cs="Arial"/>
        </w:rPr>
        <w:t xml:space="preserve"> was last reported as part of the 2019 Dashboard, which included performance colors.</w:t>
      </w:r>
    </w:p>
    <w:p w14:paraId="52E327D7" w14:textId="1A4C0E8E" w:rsidR="00315BEC" w:rsidRPr="00940517" w:rsidRDefault="00315BEC" w:rsidP="00315BEC">
      <w:pPr>
        <w:spacing w:after="240"/>
        <w:rPr>
          <w:rFonts w:cs="Arial"/>
        </w:rPr>
      </w:pPr>
      <w:r w:rsidRPr="00940517">
        <w:rPr>
          <w:rFonts w:cs="Arial"/>
        </w:rPr>
        <w:t xml:space="preserve">Over the past several years, due to the lack of career measures within the CCI, the CDE has been working on the development of new career measures with specific interest groups, such as CCI Work Group, the Alternative Schools Task Force, the California Practitioners Advisory Group, and the Technical Design Group. At the end of the 2020–21 school year, the CDE collected (for the first time) data on four new </w:t>
      </w:r>
      <w:r w:rsidRPr="00940517">
        <w:rPr>
          <w:rFonts w:cs="Arial"/>
        </w:rPr>
        <w:lastRenderedPageBreak/>
        <w:t xml:space="preserve">measures: student internship, student-led enterprise, simulated work-based learning, and the </w:t>
      </w:r>
      <w:r w:rsidRPr="00940517">
        <w:rPr>
          <w:rFonts w:cs="Arial"/>
          <w:shd w:val="clear" w:color="auto" w:fill="FFFFFF"/>
        </w:rPr>
        <w:t>Armed Services Vocational Aptitude Battery (ASVAB). At this stage in the development of new career measures for the CCI, the collected data are typically reviewed and analyzed with the aforementioned groups</w:t>
      </w:r>
      <w:r w:rsidRPr="00940517">
        <w:rPr>
          <w:rFonts w:cs="Arial"/>
        </w:rPr>
        <w:t>. These groups then: (1) make recommendations if the measures should be included in the CCI and (2) propose criteria that graduates must meet to be placed in the Prepared or Approaching Prepared CCI levels. However, with the continued challenges and disruption</w:t>
      </w:r>
      <w:r w:rsidR="00DF5232" w:rsidRPr="00940517">
        <w:rPr>
          <w:rFonts w:cs="Arial"/>
        </w:rPr>
        <w:t>s</w:t>
      </w:r>
      <w:r w:rsidRPr="00940517">
        <w:rPr>
          <w:rFonts w:cs="Arial"/>
        </w:rPr>
        <w:t xml:space="preserve"> schools have faced due to the COVID-19 health crisis, these factors will be need to be considered when the 2020–21 data are reviewed with these groups.</w:t>
      </w:r>
    </w:p>
    <w:p w14:paraId="6F7C561E" w14:textId="77777777" w:rsidR="00315BEC" w:rsidRPr="00940517" w:rsidRDefault="00315BEC" w:rsidP="00315BEC">
      <w:pPr>
        <w:pStyle w:val="NoSpacing"/>
        <w:spacing w:after="240"/>
        <w:rPr>
          <w:rFonts w:cs="Arial"/>
        </w:rPr>
      </w:pPr>
      <w:r w:rsidRPr="00940517">
        <w:t xml:space="preserve">In the past year, the CDE also continued to meet virtually with the </w:t>
      </w:r>
      <w:r w:rsidRPr="00940517">
        <w:rPr>
          <w:rFonts w:cs="Arial"/>
        </w:rPr>
        <w:t xml:space="preserve">Civic Engagement Work Group </w:t>
      </w:r>
      <w:r w:rsidRPr="00940517">
        <w:t xml:space="preserve">to work on the development of a civic engagement measure. Possible placement criteria (i.e., Prepared and Approaching Prepared) has been discussed with the Work Group along with the data collection. During this time, the Analysis, Measure, and Accountability Reporting Division and the Career and College Transition Division also held conversations on the development of </w:t>
      </w:r>
      <w:r w:rsidRPr="00940517">
        <w:rPr>
          <w:rFonts w:cs="Arial"/>
        </w:rPr>
        <w:t>industry certifications as a potential measure for the CCI.</w:t>
      </w:r>
    </w:p>
    <w:p w14:paraId="1000B623" w14:textId="4E3D2DF2" w:rsidR="00315BEC" w:rsidRPr="00940517" w:rsidRDefault="00315BEC" w:rsidP="00315BEC">
      <w:pPr>
        <w:pStyle w:val="NoSpacing"/>
        <w:spacing w:after="240"/>
      </w:pPr>
      <w:r w:rsidRPr="00940517">
        <w:rPr>
          <w:rFonts w:cs="Arial"/>
        </w:rPr>
        <w:t>While the data collection for both the civic engagement measure and the industry certification measure were planned for the 2021–22 school year, this was suspended to allow CALPADS to undergo a re-architecture of its infrastructure</w:t>
      </w:r>
      <w:r w:rsidRPr="00940517">
        <w:t>. This re-architecture has provided the CDE a unique opportunity to explore other modes of data collection</w:t>
      </w:r>
      <w:r w:rsidRPr="00940517">
        <w:rPr>
          <w:rFonts w:cs="Arial"/>
        </w:rPr>
        <w:t xml:space="preserve">. For instance, having a </w:t>
      </w:r>
      <w:r w:rsidR="004453BC" w:rsidRPr="00940517">
        <w:rPr>
          <w:rFonts w:cs="Arial"/>
        </w:rPr>
        <w:t>dedicated</w:t>
      </w:r>
      <w:r w:rsidRPr="00940517">
        <w:rPr>
          <w:rFonts w:cs="Arial"/>
        </w:rPr>
        <w:t xml:space="preserve"> data collection for CCI career measures could </w:t>
      </w:r>
      <w:r w:rsidRPr="00940517">
        <w:t xml:space="preserve">help LEAs and the CDE better track and assess progress and outcomes of coursework, exams, and seals. Building a </w:t>
      </w:r>
      <w:r w:rsidR="009D3FAB" w:rsidRPr="00940517">
        <w:t>dedicated</w:t>
      </w:r>
      <w:r w:rsidRPr="00940517">
        <w:t xml:space="preserve"> data collection could also allow the CDE to tighten the descriptions of the data being collected and ensuring that only essential data are being collected. The CDE will use this year to discuss the various data collection options, </w:t>
      </w:r>
      <w:r w:rsidR="004453BC" w:rsidRPr="00940517">
        <w:t xml:space="preserve">leveraging the architecture of CALPADS, and its resources, </w:t>
      </w:r>
      <w:r w:rsidRPr="00940517">
        <w:t>as well as meet with the interest groups to discuss next steps for the civic engagement and industry certification measures.</w:t>
      </w:r>
    </w:p>
    <w:p w14:paraId="06580C4C" w14:textId="03BFE273" w:rsidR="00315BEC" w:rsidRPr="00940517" w:rsidRDefault="30FA2EEF" w:rsidP="00315BEC">
      <w:pPr>
        <w:tabs>
          <w:tab w:val="num" w:pos="1440"/>
        </w:tabs>
        <w:spacing w:after="240"/>
        <w:rPr>
          <w:rFonts w:cs="Arial"/>
        </w:rPr>
      </w:pPr>
      <w:r w:rsidRPr="00940517">
        <w:rPr>
          <w:rFonts w:cs="Arial"/>
        </w:rPr>
        <w:t>When the 2022 Dashboard is released this fall, the CDE proposes to not report the CCI on the Dashboard. During the 2020-21 school year, when the administration of the state assessments was not the most viable option, LEAs were required to administer local assessments. While the results of these local assessment were reported to the public via School Accountability Report Cards (SARC), they cannot be used for accountability. Because the Smarter Balanced Assessments is both a standalone measure and a part of other compound measures in the CCI, determinations for Prepared, Approaching Prepared, and Not Prepared cannot be made and a CCI cannot be calculated. This proposal to not report on the CCI or use it to identify schools for support is included in the March 2022 SBE Item on the ESSA State Plan/COVID-19 Addendum.</w:t>
      </w:r>
      <w:r w:rsidR="00C74ECE" w:rsidRPr="00940517">
        <w:rPr>
          <w:rFonts w:cs="Arial"/>
        </w:rPr>
        <w:t xml:space="preserve"> When the CPAG was asked (at their February 18, 2022 meeting) if the CCI should be removed from accountability for the 2022 Dashboard reporting, the members were </w:t>
      </w:r>
      <w:r w:rsidR="00BD7C54" w:rsidRPr="00940517">
        <w:rPr>
          <w:rFonts w:cs="Arial"/>
        </w:rPr>
        <w:t>supportive of the CDE’s proposal.</w:t>
      </w:r>
    </w:p>
    <w:p w14:paraId="7ADC8032" w14:textId="77777777" w:rsidR="00315BEC" w:rsidRPr="00940517" w:rsidRDefault="00315BEC" w:rsidP="00B96928">
      <w:pPr>
        <w:pStyle w:val="Heading5"/>
      </w:pPr>
      <w:r w:rsidRPr="00940517">
        <w:lastRenderedPageBreak/>
        <w:t>College/Career Additional Report</w:t>
      </w:r>
    </w:p>
    <w:p w14:paraId="782EEE07" w14:textId="3088065F" w:rsidR="00315BEC" w:rsidRPr="00940517" w:rsidRDefault="00315BEC" w:rsidP="00315BEC">
      <w:pPr>
        <w:spacing w:after="240"/>
        <w:rPr>
          <w:rFonts w:cs="Arial"/>
        </w:rPr>
      </w:pPr>
      <w:r w:rsidRPr="00940517">
        <w:rPr>
          <w:rFonts w:cs="Arial"/>
        </w:rPr>
        <w:t>During the past two years of the COVID-19 pandemic, the CDE has continued to publish the CCI Additional Report</w:t>
      </w:r>
      <w:r w:rsidR="00407833" w:rsidRPr="00940517">
        <w:rPr>
          <w:rFonts w:cs="Arial"/>
        </w:rPr>
        <w:t xml:space="preserve"> (available through the CDE School Dashboard Additional Reports web page)</w:t>
      </w:r>
      <w:r w:rsidR="00955CA2" w:rsidRPr="00940517">
        <w:rPr>
          <w:rFonts w:cs="Arial"/>
        </w:rPr>
        <w:t xml:space="preserve"> to provide LEAs CCI-related data that would have been reported on the Dashboard. T</w:t>
      </w:r>
      <w:r w:rsidRPr="00940517">
        <w:rPr>
          <w:rFonts w:cs="Arial"/>
        </w:rPr>
        <w:t>he 2020 report reflected the full features that this report has to offer, such as heat maps to help viewers quickly identify which CCI measure has high or low percentages of students meeting the specific placement criteria. In 2021, even though Prepared and Approaching Prepared data could not be reported due to the suspension of the Smarter Balanced Summative Assessments in 2019–20, the CDE provided data on other specific CCI-related measures.</w:t>
      </w:r>
    </w:p>
    <w:p w14:paraId="43923FBA" w14:textId="68B24E8E" w:rsidR="00315BEC" w:rsidRPr="00940517" w:rsidRDefault="00315BEC" w:rsidP="00315BEC">
      <w:pPr>
        <w:pStyle w:val="Heading4"/>
      </w:pPr>
      <w:r w:rsidRPr="00940517">
        <w:t>English Learner Progress Indicator</w:t>
      </w:r>
    </w:p>
    <w:p w14:paraId="5CA3A3D3" w14:textId="1C186C91" w:rsidR="00315BEC" w:rsidRPr="00940517" w:rsidRDefault="00315BEC" w:rsidP="00315BEC">
      <w:pPr>
        <w:spacing w:after="240"/>
        <w:rPr>
          <w:rFonts w:cs="Arial"/>
        </w:rPr>
      </w:pPr>
      <w:r w:rsidRPr="00940517">
        <w:rPr>
          <w:rFonts w:eastAsia="Arial" w:cs="Arial"/>
        </w:rPr>
        <w:t>The</w:t>
      </w:r>
      <w:r w:rsidRPr="00940517">
        <w:rPr>
          <w:rFonts w:cs="Arial"/>
        </w:rPr>
        <w:t xml:space="preserve"> English Learner Progress Indicator (ELPI) measures the rate E</w:t>
      </w:r>
      <w:r w:rsidR="003B4125" w:rsidRPr="00940517">
        <w:rPr>
          <w:rFonts w:cs="Arial"/>
        </w:rPr>
        <w:t xml:space="preserve">nglish </w:t>
      </w:r>
      <w:r w:rsidRPr="00940517">
        <w:rPr>
          <w:rFonts w:cs="Arial"/>
        </w:rPr>
        <w:t>L</w:t>
      </w:r>
      <w:r w:rsidR="003B4125" w:rsidRPr="00940517">
        <w:rPr>
          <w:rFonts w:cs="Arial"/>
        </w:rPr>
        <w:t>earner (EL)</w:t>
      </w:r>
      <w:r w:rsidRPr="00940517">
        <w:rPr>
          <w:rFonts w:cs="Arial"/>
        </w:rPr>
        <w:t xml:space="preserve"> students are progressing towards English language proficiency. The ELPI is based on results from the English Language Proficiency Assessments for California (ELPAC) and at least two years of ELPAC Summative results are required</w:t>
      </w:r>
      <w:r w:rsidR="003B4125" w:rsidRPr="00940517">
        <w:rPr>
          <w:rFonts w:cs="Arial"/>
        </w:rPr>
        <w:t xml:space="preserve"> to create Status</w:t>
      </w:r>
      <w:r w:rsidRPr="00940517">
        <w:rPr>
          <w:rFonts w:cs="Arial"/>
        </w:rPr>
        <w:t xml:space="preserve">. </w:t>
      </w:r>
      <w:r w:rsidR="00726749" w:rsidRPr="00940517">
        <w:rPr>
          <w:rFonts w:cs="Arial"/>
        </w:rPr>
        <w:t>In 2019, t</w:t>
      </w:r>
      <w:r w:rsidRPr="00940517">
        <w:rPr>
          <w:rFonts w:cs="Arial"/>
        </w:rPr>
        <w:t xml:space="preserve">he ELPI </w:t>
      </w:r>
      <w:r w:rsidR="00E32547" w:rsidRPr="00940517">
        <w:rPr>
          <w:rFonts w:cs="Arial"/>
        </w:rPr>
        <w:t>reported on Status using two years of ELPAC data. This data was also used to identify schools eligible for support under federal ESSA requirements.</w:t>
      </w:r>
    </w:p>
    <w:p w14:paraId="0CD0CD04" w14:textId="49335E45" w:rsidR="00315BEC" w:rsidRPr="00940517" w:rsidRDefault="00C714F5" w:rsidP="00315BEC">
      <w:pPr>
        <w:spacing w:after="240"/>
        <w:rPr>
          <w:rFonts w:cs="Arial"/>
        </w:rPr>
      </w:pPr>
      <w:r w:rsidRPr="00940517">
        <w:rPr>
          <w:rFonts w:cs="Arial"/>
        </w:rPr>
        <w:t>The CDE anticipates using the 2021 and 2022 ELPAC Summative results to validate the current ELPI Status cut scores and report ELPI Status on the 2022 Dashboard. The following year, with the 2023 ELPAC Summative results, the CDE anticipates reporting ELPI Status, Change, and Performance Level on the 2023 Dashboard.</w:t>
      </w:r>
    </w:p>
    <w:p w14:paraId="4155D37E" w14:textId="6F8FEBD0" w:rsidR="00315BEC" w:rsidRPr="00940517" w:rsidRDefault="002553B6" w:rsidP="00315BEC">
      <w:pPr>
        <w:spacing w:after="240"/>
      </w:pPr>
      <w:r w:rsidRPr="00940517">
        <w:rPr>
          <w:rFonts w:eastAsia="Arial" w:cs="Arial"/>
        </w:rPr>
        <w:t xml:space="preserve">Following the close of </w:t>
      </w:r>
      <w:r w:rsidR="00032798" w:rsidRPr="00940517">
        <w:rPr>
          <w:rFonts w:eastAsia="Arial" w:cs="Arial"/>
        </w:rPr>
        <w:t xml:space="preserve">the </w:t>
      </w:r>
      <w:r w:rsidRPr="00940517">
        <w:rPr>
          <w:rFonts w:eastAsia="Arial" w:cs="Arial"/>
        </w:rPr>
        <w:t xml:space="preserve">administration of the 2022 </w:t>
      </w:r>
      <w:r w:rsidR="00315BEC" w:rsidRPr="00940517">
        <w:rPr>
          <w:rFonts w:eastAsia="Arial" w:cs="Arial"/>
        </w:rPr>
        <w:t>ELPAC</w:t>
      </w:r>
      <w:r w:rsidRPr="00940517">
        <w:rPr>
          <w:rFonts w:eastAsia="Arial" w:cs="Arial"/>
        </w:rPr>
        <w:t xml:space="preserve">, </w:t>
      </w:r>
      <w:r w:rsidR="0014400E" w:rsidRPr="00940517">
        <w:rPr>
          <w:rFonts w:eastAsia="Arial" w:cs="Arial"/>
        </w:rPr>
        <w:t>t</w:t>
      </w:r>
      <w:r w:rsidR="00315BEC" w:rsidRPr="00940517">
        <w:rPr>
          <w:rFonts w:cs="Arial"/>
        </w:rPr>
        <w:t>he CDE will work closely with the ELPI Workgroup</w:t>
      </w:r>
      <w:r w:rsidR="0014400E" w:rsidRPr="00940517">
        <w:rPr>
          <w:rFonts w:cs="Arial"/>
        </w:rPr>
        <w:t>, who advises the CDE on this indicator,</w:t>
      </w:r>
      <w:r w:rsidR="00315BEC" w:rsidRPr="00940517">
        <w:rPr>
          <w:rFonts w:cs="Arial"/>
        </w:rPr>
        <w:t xml:space="preserve"> </w:t>
      </w:r>
      <w:r w:rsidR="00315BEC" w:rsidRPr="00940517">
        <w:rPr>
          <w:rFonts w:eastAsia="Arial" w:cs="Arial"/>
        </w:rPr>
        <w:t xml:space="preserve">and the </w:t>
      </w:r>
      <w:r w:rsidR="0014400E" w:rsidRPr="00940517">
        <w:rPr>
          <w:rFonts w:eastAsia="Arial" w:cs="Arial"/>
        </w:rPr>
        <w:t>T</w:t>
      </w:r>
      <w:r w:rsidR="00315BEC" w:rsidRPr="00940517">
        <w:rPr>
          <w:rFonts w:eastAsia="Arial" w:cs="Arial"/>
        </w:rPr>
        <w:t>DG in planning, developing, and reporting the ELPI Status for the 2022 Dashboard.</w:t>
      </w:r>
    </w:p>
    <w:p w14:paraId="3C6B3A7B" w14:textId="52AC2589" w:rsidR="00EC240B" w:rsidRPr="00940517" w:rsidRDefault="00EC240B" w:rsidP="00315BEC">
      <w:pPr>
        <w:pStyle w:val="Heading4"/>
      </w:pPr>
      <w:r w:rsidRPr="00940517">
        <w:t>Graduation Rate</w:t>
      </w:r>
    </w:p>
    <w:p w14:paraId="0A87602C" w14:textId="36D1E521" w:rsidR="00EC240B" w:rsidRPr="00940517" w:rsidRDefault="00EC240B" w:rsidP="007D046E">
      <w:pPr>
        <w:spacing w:after="240"/>
        <w:rPr>
          <w:rFonts w:cs="Arial"/>
        </w:rPr>
      </w:pPr>
      <w:r w:rsidRPr="00940517">
        <w:rPr>
          <w:rFonts w:cs="Arial"/>
        </w:rPr>
        <w:t>LEAs and schools that serve grade twelve students receive a Graduation Rate Indicator. For comprehensive high schools, a combined four- and five-year graduation rate is calculated based on the number of students who graduate with a regular high school diploma in either four</w:t>
      </w:r>
      <w:r w:rsidRPr="00940517">
        <w:t xml:space="preserve"> </w:t>
      </w:r>
      <w:r w:rsidRPr="00940517">
        <w:rPr>
          <w:rFonts w:cs="Arial"/>
        </w:rPr>
        <w:t>or five years. For DASS schools, a modified one-year graduation rate is calculated using students who are enrolled in grade twelve. The graduation rate data are sourced from the data that LEAs and schools submit and certify in the CALPADS. The Graduation Rate Indicator was last reported as part of the 2019 Dashboard, which included performance colors.</w:t>
      </w:r>
    </w:p>
    <w:p w14:paraId="6D13EBAE" w14:textId="36CDCC1D" w:rsidR="00955CA2" w:rsidRPr="00940517" w:rsidRDefault="00955CA2" w:rsidP="00955CA2">
      <w:pPr>
        <w:pStyle w:val="Heading5"/>
      </w:pPr>
      <w:r w:rsidRPr="00940517">
        <w:t>Graduation Rate Additional Report</w:t>
      </w:r>
    </w:p>
    <w:p w14:paraId="22B55354" w14:textId="5B1BF459" w:rsidR="00EC240B" w:rsidRPr="00940517" w:rsidRDefault="005F4A9D" w:rsidP="007D046E">
      <w:pPr>
        <w:spacing w:after="240"/>
        <w:rPr>
          <w:rFonts w:cs="Arial"/>
        </w:rPr>
      </w:pPr>
      <w:r w:rsidRPr="00940517">
        <w:rPr>
          <w:rFonts w:cs="Arial"/>
        </w:rPr>
        <w:t xml:space="preserve">Similar to </w:t>
      </w:r>
      <w:r w:rsidR="00B54B74" w:rsidRPr="00940517">
        <w:rPr>
          <w:rFonts w:cs="Arial"/>
        </w:rPr>
        <w:t>publishing the</w:t>
      </w:r>
      <w:r w:rsidRPr="00940517">
        <w:rPr>
          <w:rFonts w:cs="Arial"/>
        </w:rPr>
        <w:t xml:space="preserve"> CCI Additional Report i</w:t>
      </w:r>
      <w:r w:rsidR="00EC240B" w:rsidRPr="00940517">
        <w:rPr>
          <w:rFonts w:cs="Arial"/>
        </w:rPr>
        <w:t xml:space="preserve">n 2020 and 2021, </w:t>
      </w:r>
      <w:r w:rsidR="00B54B74" w:rsidRPr="00940517">
        <w:rPr>
          <w:rFonts w:cs="Arial"/>
        </w:rPr>
        <w:t xml:space="preserve">the </w:t>
      </w:r>
      <w:r w:rsidR="00EC240B" w:rsidRPr="00940517">
        <w:rPr>
          <w:rFonts w:cs="Arial"/>
        </w:rPr>
        <w:t xml:space="preserve">CDE </w:t>
      </w:r>
      <w:r w:rsidR="00B54B74" w:rsidRPr="00940517">
        <w:rPr>
          <w:rFonts w:cs="Arial"/>
        </w:rPr>
        <w:t xml:space="preserve">also reported </w:t>
      </w:r>
      <w:r w:rsidR="00EC240B" w:rsidRPr="00940517">
        <w:rPr>
          <w:rFonts w:cs="Arial"/>
        </w:rPr>
        <w:t xml:space="preserve">the graduation rate for all LEAs, schools, and student groups for informational </w:t>
      </w:r>
      <w:r w:rsidR="00EC240B" w:rsidRPr="00940517">
        <w:rPr>
          <w:rFonts w:cs="Arial"/>
        </w:rPr>
        <w:lastRenderedPageBreak/>
        <w:t xml:space="preserve">purposes through the </w:t>
      </w:r>
      <w:r w:rsidR="00955CA2" w:rsidRPr="00940517">
        <w:rPr>
          <w:rFonts w:cs="Arial"/>
        </w:rPr>
        <w:t>Graduation Rate Additional Report</w:t>
      </w:r>
      <w:r w:rsidR="00EC240B" w:rsidRPr="00940517">
        <w:rPr>
          <w:rFonts w:cs="Arial"/>
        </w:rPr>
        <w:t>.</w:t>
      </w:r>
      <w:r w:rsidR="00955CA2" w:rsidRPr="00940517">
        <w:rPr>
          <w:rFonts w:cs="Arial"/>
        </w:rPr>
        <w:t xml:space="preserve"> </w:t>
      </w:r>
      <w:r w:rsidR="005831C0" w:rsidRPr="00940517">
        <w:rPr>
          <w:rFonts w:cs="Arial"/>
        </w:rPr>
        <w:t xml:space="preserve">This report </w:t>
      </w:r>
      <w:r w:rsidR="00B54B74" w:rsidRPr="00940517">
        <w:rPr>
          <w:rFonts w:cs="Arial"/>
        </w:rPr>
        <w:t>specifies</w:t>
      </w:r>
      <w:r w:rsidR="005831C0" w:rsidRPr="00940517">
        <w:rPr>
          <w:rFonts w:cs="Arial"/>
        </w:rPr>
        <w:t xml:space="preserve"> the number of students who graduated </w:t>
      </w:r>
      <w:r w:rsidR="00C109F3" w:rsidRPr="00940517">
        <w:rPr>
          <w:rFonts w:cs="Arial"/>
        </w:rPr>
        <w:t xml:space="preserve">within the combined four-and five year graduation rate for comprehensive non-DASS schools, as well as </w:t>
      </w:r>
      <w:r w:rsidR="005831C0" w:rsidRPr="00940517">
        <w:rPr>
          <w:rFonts w:cs="Arial"/>
        </w:rPr>
        <w:t xml:space="preserve">the number of students </w:t>
      </w:r>
      <w:r w:rsidR="00970FF8" w:rsidRPr="00940517">
        <w:rPr>
          <w:rFonts w:cs="Arial"/>
        </w:rPr>
        <w:t>who graduated with</w:t>
      </w:r>
      <w:r w:rsidR="005831C0" w:rsidRPr="00940517">
        <w:rPr>
          <w:rFonts w:cs="Arial"/>
        </w:rPr>
        <w:t xml:space="preserve">in the DASS graduation rate. </w:t>
      </w:r>
      <w:r w:rsidR="00DF718B" w:rsidRPr="00940517">
        <w:rPr>
          <w:rFonts w:cs="Arial"/>
        </w:rPr>
        <w:t>As these rates are calculated using the same business rules to calculate the Graduation Rate Indicator for the Dashboard,</w:t>
      </w:r>
      <w:r w:rsidR="007D5B43" w:rsidRPr="00940517">
        <w:rPr>
          <w:rFonts w:cs="Arial"/>
        </w:rPr>
        <w:t xml:space="preserve"> providing</w:t>
      </w:r>
      <w:r w:rsidR="00DF718B" w:rsidRPr="00940517">
        <w:rPr>
          <w:rFonts w:cs="Arial"/>
        </w:rPr>
        <w:t xml:space="preserve"> this data </w:t>
      </w:r>
      <w:r w:rsidR="007D5B43" w:rsidRPr="00940517">
        <w:rPr>
          <w:rFonts w:cs="Arial"/>
        </w:rPr>
        <w:t>gives</w:t>
      </w:r>
      <w:r w:rsidR="00DF718B" w:rsidRPr="00940517">
        <w:rPr>
          <w:rFonts w:cs="Arial"/>
        </w:rPr>
        <w:t xml:space="preserve"> LEAs some continuity when reporting their graduation rates either </w:t>
      </w:r>
      <w:r w:rsidR="005831C0" w:rsidRPr="00940517">
        <w:rPr>
          <w:rFonts w:cs="Arial"/>
        </w:rPr>
        <w:t>through their</w:t>
      </w:r>
      <w:r w:rsidR="00DF718B" w:rsidRPr="00940517">
        <w:rPr>
          <w:rFonts w:cs="Arial"/>
        </w:rPr>
        <w:t xml:space="preserve"> LCAP or for local purposes.</w:t>
      </w:r>
    </w:p>
    <w:p w14:paraId="5C03546D" w14:textId="655F5A02" w:rsidR="00955CA2" w:rsidRPr="00940517" w:rsidRDefault="00955CA2" w:rsidP="00955CA2">
      <w:pPr>
        <w:spacing w:after="240"/>
        <w:rPr>
          <w:rFonts w:cs="Arial"/>
        </w:rPr>
      </w:pPr>
      <w:r w:rsidRPr="00940517">
        <w:rPr>
          <w:rFonts w:cs="Arial"/>
        </w:rPr>
        <w:t xml:space="preserve">Further information on </w:t>
      </w:r>
      <w:r w:rsidR="004F7B84" w:rsidRPr="00940517">
        <w:rPr>
          <w:rFonts w:cs="Arial"/>
        </w:rPr>
        <w:t xml:space="preserve">all the reports available under the </w:t>
      </w:r>
      <w:r w:rsidRPr="00940517">
        <w:rPr>
          <w:rFonts w:cs="Arial"/>
        </w:rPr>
        <w:t>School Dashboard Additional Report is covered in the Resources section below.</w:t>
      </w:r>
    </w:p>
    <w:p w14:paraId="2739F69D" w14:textId="23E12120" w:rsidR="004D5F07" w:rsidRPr="00940517" w:rsidRDefault="004D5F07" w:rsidP="00315BEC">
      <w:pPr>
        <w:pStyle w:val="Heading4"/>
      </w:pPr>
      <w:r w:rsidRPr="00940517">
        <w:t>Suspension Rate</w:t>
      </w:r>
    </w:p>
    <w:p w14:paraId="0B86398E" w14:textId="7C7CAC48" w:rsidR="00595D1F" w:rsidRPr="00940517" w:rsidRDefault="00595D1F" w:rsidP="00595D1F">
      <w:pPr>
        <w:widowControl w:val="0"/>
        <w:spacing w:after="240"/>
        <w:rPr>
          <w:rFonts w:cs="Arial"/>
        </w:rPr>
      </w:pPr>
      <w:r w:rsidRPr="00940517">
        <w:rPr>
          <w:rFonts w:cs="Arial"/>
        </w:rPr>
        <w:t>The Suspension Rate Indicator is reported for students in kindergarten through grade twelve who were cumulatively enrolled and suspended at least once. The data used for this indicator are sourced from the data that LEAs and schools submit to the CALPADS. The Suspension Rate Indicator was last reported as part of the 2019 Dashboard, which included performance colors.</w:t>
      </w:r>
    </w:p>
    <w:p w14:paraId="375AA4E6" w14:textId="38AA7D35" w:rsidR="00595D1F" w:rsidRPr="00940517" w:rsidRDefault="00595D1F" w:rsidP="00595D1F">
      <w:pPr>
        <w:widowControl w:val="0"/>
        <w:spacing w:after="240"/>
        <w:rPr>
          <w:rFonts w:cs="Arial"/>
        </w:rPr>
      </w:pPr>
      <w:r w:rsidRPr="00940517">
        <w:rPr>
          <w:rFonts w:cs="Arial"/>
        </w:rPr>
        <w:t xml:space="preserve">Due to statewide physical school closures in early 2020 followed by the implementation of distance learning in many schools across the state, the 2019–20 suspension data were reported for informational purposes only on DataQuest. The 2020–21 suspension rates were also reported on DataQuest and a direct link to this report was provided via the </w:t>
      </w:r>
      <w:r w:rsidR="00407833" w:rsidRPr="00940517">
        <w:rPr>
          <w:rFonts w:cs="Arial"/>
        </w:rPr>
        <w:t xml:space="preserve">CDE </w:t>
      </w:r>
      <w:r w:rsidRPr="00940517">
        <w:rPr>
          <w:rFonts w:cs="Arial"/>
        </w:rPr>
        <w:t>School Dashboard Additional Reports.</w:t>
      </w:r>
    </w:p>
    <w:p w14:paraId="33FF2730" w14:textId="36D6B1C8" w:rsidR="0037235A" w:rsidRPr="00940517" w:rsidRDefault="0037235A" w:rsidP="0037235A">
      <w:pPr>
        <w:pStyle w:val="Heading3"/>
      </w:pPr>
      <w:r w:rsidRPr="00940517">
        <w:t>Additional Dashboard State Ind</w:t>
      </w:r>
      <w:r w:rsidR="00432D8B" w:rsidRPr="00940517">
        <w:t>i</w:t>
      </w:r>
      <w:r w:rsidRPr="00940517">
        <w:t>cator Considerations</w:t>
      </w:r>
    </w:p>
    <w:p w14:paraId="6DCB162A" w14:textId="60443702" w:rsidR="00315BEC" w:rsidRPr="00940517" w:rsidRDefault="00315BEC" w:rsidP="00315BEC">
      <w:pPr>
        <w:pStyle w:val="Heading4"/>
      </w:pPr>
      <w:r w:rsidRPr="00940517">
        <w:t>District of Special Education Accountability</w:t>
      </w:r>
    </w:p>
    <w:p w14:paraId="231E4A5D" w14:textId="38BC9CA8" w:rsidR="00315BEC" w:rsidRPr="00940517" w:rsidRDefault="00315BEC" w:rsidP="00315BEC">
      <w:pPr>
        <w:spacing w:after="240"/>
        <w:rPr>
          <w:rFonts w:cs="Arial"/>
        </w:rPr>
      </w:pPr>
      <w:r w:rsidRPr="00940517">
        <w:rPr>
          <w:rFonts w:cs="Arial"/>
        </w:rPr>
        <w:t>With the release of the 2022 Dashboard, the CDE will apply the district of special education accountability (DSEA) rule to all available state indicators. Originally applied to the Academic Indicator since the release of the 2017 Dashboard, this rule “sends back” SWDs who receive special education services at another district or county office of education to the sending LEA (i.e., district of special education accountability). This ensures that the LEA that receives federal funding for a student—under the Individuals with Disabilities Education Act—will be held accountable for the outcomes of that student. (Note that this rule only applies to LEAs. Schools that serve SWDs are held accountable for all their SWDs, regardless if they were sent by another institution</w:t>
      </w:r>
      <w:r w:rsidR="0002444B" w:rsidRPr="00940517">
        <w:rPr>
          <w:rFonts w:cs="Arial"/>
        </w:rPr>
        <w:t>.)</w:t>
      </w:r>
    </w:p>
    <w:p w14:paraId="0E9FFBE4" w14:textId="519A5DCF" w:rsidR="00315BEC" w:rsidRPr="00940517" w:rsidRDefault="00315BEC" w:rsidP="00315BEC">
      <w:r w:rsidRPr="00940517">
        <w:t xml:space="preserve">In 2020, the DSEA rule was expanded (for the first time) to the graduation rates and the CCI data that were reported for informational purposes on the CDE School Dashboard Additional Reports web page. This year, the rule will be factored in for the first time to the Suspension Rate Indicator, the Chronic Absenteeism Indicator, and the English Learner Progress Indicator, and it will continue to be applied to the Academic Indicator, the Graduation Rate Indicator, and the CCI. Thus, from the 2022 Dashboard onward, </w:t>
      </w:r>
      <w:r w:rsidRPr="00940517">
        <w:lastRenderedPageBreak/>
        <w:t>the DSEA rule will be incorporated for all state indicators.</w:t>
      </w:r>
      <w:r w:rsidR="006A2F04" w:rsidRPr="00940517">
        <w:t xml:space="preserve"> </w:t>
      </w:r>
      <w:r w:rsidR="00407833" w:rsidRPr="00940517">
        <w:t>Details on this rule</w:t>
      </w:r>
      <w:r w:rsidR="006A2F04" w:rsidRPr="00940517">
        <w:t xml:space="preserve"> has been made available online as an informational flyer on the CDE Dashboard Flyers web page at </w:t>
      </w:r>
      <w:hyperlink r:id="rId138" w:tooltip="https://www.cde.ca.gov/ta/ac/cm/dashboardflyers.asp" w:history="1">
        <w:r w:rsidR="006A2F04" w:rsidRPr="00940517">
          <w:rPr>
            <w:rStyle w:val="Hyperlink"/>
          </w:rPr>
          <w:t>https://www.cde.ca.gov/ta/ac/cm/dashboardflyers.asp</w:t>
        </w:r>
      </w:hyperlink>
      <w:r w:rsidR="006A2F04" w:rsidRPr="00940517">
        <w:t>.</w:t>
      </w:r>
    </w:p>
    <w:p w14:paraId="1C5FDD90" w14:textId="2A0DAAAA" w:rsidR="00DC684D" w:rsidRPr="00940517" w:rsidRDefault="00DC684D" w:rsidP="00315BEC">
      <w:pPr>
        <w:pStyle w:val="Heading4"/>
      </w:pPr>
      <w:r w:rsidRPr="00940517">
        <w:t xml:space="preserve">Dashboard Alternative </w:t>
      </w:r>
      <w:r w:rsidR="00595D1F" w:rsidRPr="00940517">
        <w:t>S</w:t>
      </w:r>
      <w:r w:rsidRPr="00940517">
        <w:t xml:space="preserve">chool </w:t>
      </w:r>
      <w:r w:rsidR="00595D1F" w:rsidRPr="00940517">
        <w:t>S</w:t>
      </w:r>
      <w:r w:rsidRPr="00940517">
        <w:t>tatus Program</w:t>
      </w:r>
    </w:p>
    <w:p w14:paraId="6F68970C" w14:textId="7A6288BF" w:rsidR="00315BEC" w:rsidRPr="00940517" w:rsidRDefault="074F211A" w:rsidP="00315BEC">
      <w:pPr>
        <w:pStyle w:val="Heading5"/>
      </w:pPr>
      <w:r w:rsidRPr="00940517">
        <w:t>Amendments to the Every Student Succeeds Act State Plan</w:t>
      </w:r>
    </w:p>
    <w:p w14:paraId="0BCCF147" w14:textId="24366285" w:rsidR="0076470B" w:rsidRPr="00940517" w:rsidRDefault="08EF6B3A" w:rsidP="0E36A200">
      <w:r w:rsidRPr="00940517">
        <w:rPr>
          <w:rFonts w:ascii="Helvetica" w:hAnsi="Helvetica" w:cs="Helvetica"/>
          <w:color w:val="000000" w:themeColor="text1"/>
        </w:rPr>
        <w:t xml:space="preserve">Due to the </w:t>
      </w:r>
      <w:r w:rsidR="7A07230A" w:rsidRPr="00940517">
        <w:rPr>
          <w:rFonts w:ascii="Helvetica" w:hAnsi="Helvetica" w:cs="Helvetica"/>
          <w:color w:val="000000" w:themeColor="text1"/>
        </w:rPr>
        <w:t>ED</w:t>
      </w:r>
      <w:r w:rsidR="3CE515C4" w:rsidRPr="00940517">
        <w:rPr>
          <w:rFonts w:ascii="Helvetica" w:hAnsi="Helvetica" w:cs="Helvetica"/>
          <w:color w:val="000000" w:themeColor="text1"/>
        </w:rPr>
        <w:t xml:space="preserve">’s denial of </w:t>
      </w:r>
      <w:r w:rsidR="7A07230A" w:rsidRPr="00940517">
        <w:t xml:space="preserve">the </w:t>
      </w:r>
      <w:r w:rsidR="4DADFFDB" w:rsidRPr="00940517">
        <w:rPr>
          <w:rFonts w:ascii="Helvetica" w:hAnsi="Helvetica" w:cs="Helvetica"/>
          <w:color w:val="000000" w:themeColor="text1"/>
        </w:rPr>
        <w:t xml:space="preserve">amendments to California’s ESSA Consolidated State Plan </w:t>
      </w:r>
      <w:r w:rsidR="4FB97BA4" w:rsidRPr="00940517">
        <w:t>on</w:t>
      </w:r>
      <w:r w:rsidR="7A07230A" w:rsidRPr="00940517">
        <w:t xml:space="preserve"> the DASS modified methods</w:t>
      </w:r>
      <w:r w:rsidR="3CE515C4" w:rsidRPr="00940517">
        <w:t>, the CDE is proposing to submit a waiver to the ED to request the continued use of modified methods for DASS schools. This information is detailed in Attachment 3.</w:t>
      </w:r>
    </w:p>
    <w:p w14:paraId="77CEA888" w14:textId="72E027B2" w:rsidR="00595D1F" w:rsidRPr="00940517" w:rsidRDefault="00595D1F" w:rsidP="00315BEC">
      <w:pPr>
        <w:pStyle w:val="Heading5"/>
      </w:pPr>
      <w:r w:rsidRPr="00940517">
        <w:t>Enrollment Patterns</w:t>
      </w:r>
    </w:p>
    <w:p w14:paraId="6325B7C0" w14:textId="6F71D907" w:rsidR="00595D1F" w:rsidRPr="00940517" w:rsidRDefault="00595D1F" w:rsidP="00E036FD">
      <w:pPr>
        <w:spacing w:after="240"/>
        <w:rPr>
          <w:rFonts w:eastAsia="Arial" w:cs="Arial"/>
        </w:rPr>
      </w:pPr>
      <w:r w:rsidRPr="00940517">
        <w:rPr>
          <w:rFonts w:eastAsia="Arial" w:cs="Arial"/>
        </w:rPr>
        <w:t>In May 2018, the SBE raised concerns that the modified one-year DASS graduation rate could potentially impact students’ mobility between non-alternative and DASS schools. Specifically, the concern was the potential increase of student transfers from non-alternative high schools into DASS high schools and whether the patterns warranted any changes to the calculation of the one-year DASS graduation rate. Due to these concerns, the SBE directed the CDE to conduct analyses of the enrollment data</w:t>
      </w:r>
      <w:r w:rsidR="00E869D0" w:rsidRPr="00940517">
        <w:rPr>
          <w:rFonts w:eastAsia="Arial" w:cs="Arial"/>
        </w:rPr>
        <w:t xml:space="preserve">, which </w:t>
      </w:r>
      <w:r w:rsidR="004E6221" w:rsidRPr="00940517">
        <w:rPr>
          <w:rFonts w:eastAsia="Arial" w:cs="Arial"/>
        </w:rPr>
        <w:t xml:space="preserve">has been provided annually </w:t>
      </w:r>
      <w:r w:rsidR="005C379A" w:rsidRPr="00940517">
        <w:rPr>
          <w:rFonts w:eastAsia="Arial" w:cs="Arial"/>
        </w:rPr>
        <w:t>to the SBE through</w:t>
      </w:r>
      <w:r w:rsidR="004C66E1" w:rsidRPr="00940517">
        <w:rPr>
          <w:rFonts w:eastAsia="Arial" w:cs="Arial"/>
        </w:rPr>
        <w:t xml:space="preserve"> Information Memoranda </w:t>
      </w:r>
      <w:r w:rsidR="004E6221" w:rsidRPr="00940517">
        <w:rPr>
          <w:rFonts w:eastAsia="Arial" w:cs="Arial"/>
        </w:rPr>
        <w:t>covering the 2017–18, 2018–19, and 2020–21 years of data</w:t>
      </w:r>
      <w:r w:rsidRPr="00940517">
        <w:rPr>
          <w:rFonts w:eastAsia="Arial" w:cs="Arial"/>
        </w:rPr>
        <w:t>.</w:t>
      </w:r>
      <w:r w:rsidR="00E869D0" w:rsidRPr="00940517">
        <w:rPr>
          <w:rFonts w:eastAsia="Arial" w:cs="Arial"/>
        </w:rPr>
        <w:t xml:space="preserve"> </w:t>
      </w:r>
      <w:r w:rsidRPr="00940517">
        <w:rPr>
          <w:rFonts w:eastAsia="Arial" w:cs="Arial"/>
        </w:rPr>
        <w:t>To date, the trend data in student transfers remain relatively stable (except during the months immediately following the COVID-19 school closures). Although there is uncertainty as to whether California can continue the use of the one-year DASS graduation rate in the Dashboard, the CDE is committed to reviewing the enrollment patterns and providing this information to the SBE.</w:t>
      </w:r>
    </w:p>
    <w:p w14:paraId="58C0CE3A" w14:textId="406C6671" w:rsidR="00595D1F" w:rsidRPr="00940517" w:rsidRDefault="00595D1F" w:rsidP="00315BEC">
      <w:pPr>
        <w:pStyle w:val="Heading5"/>
      </w:pPr>
      <w:r w:rsidRPr="00940517">
        <w:t>Positive Transition Rate</w:t>
      </w:r>
    </w:p>
    <w:p w14:paraId="610D18C0" w14:textId="63D682E8" w:rsidR="00595D1F" w:rsidRPr="00940517" w:rsidRDefault="00595D1F" w:rsidP="00E036FD">
      <w:pPr>
        <w:spacing w:after="240"/>
        <w:textAlignment w:val="baseline"/>
        <w:rPr>
          <w:rFonts w:cs="Arial"/>
        </w:rPr>
      </w:pPr>
      <w:r w:rsidRPr="00940517">
        <w:rPr>
          <w:rFonts w:cs="Arial"/>
        </w:rPr>
        <w:t>In November 2020, the Alternative Schools Task Force</w:t>
      </w:r>
      <w:r w:rsidR="00783BEB" w:rsidRPr="00940517">
        <w:rPr>
          <w:rFonts w:cs="Arial"/>
        </w:rPr>
        <w:t>, which advises the CDE on the DASS program,</w:t>
      </w:r>
      <w:r w:rsidRPr="00940517">
        <w:rPr>
          <w:rFonts w:cs="Arial"/>
        </w:rPr>
        <w:t xml:space="preserve"> presented a report to the SBE that included a recommendation to develop a positive transition rate as a local indicator for DASS schools. While the one-year DASS graduation rate informs which students graduated from a DASS school, the positive transition rate would provide information on those students who did not graduate and whether they had a “positive transition,” such as:</w:t>
      </w:r>
    </w:p>
    <w:p w14:paraId="6F712FC8" w14:textId="77777777" w:rsidR="00595D1F" w:rsidRPr="00940517" w:rsidRDefault="00595D1F" w:rsidP="00032798">
      <w:pPr>
        <w:pStyle w:val="ListParagraph"/>
        <w:numPr>
          <w:ilvl w:val="0"/>
          <w:numId w:val="5"/>
        </w:numPr>
        <w:spacing w:after="240"/>
        <w:textAlignment w:val="baseline"/>
        <w:rPr>
          <w:rFonts w:cs="Arial"/>
        </w:rPr>
      </w:pPr>
      <w:r w:rsidRPr="00940517">
        <w:rPr>
          <w:rFonts w:cs="Arial"/>
        </w:rPr>
        <w:t>Returning to a traditional comprehensive high school,</w:t>
      </w:r>
    </w:p>
    <w:p w14:paraId="6442F048" w14:textId="77777777" w:rsidR="00595D1F" w:rsidRPr="00940517" w:rsidRDefault="00595D1F" w:rsidP="00032798">
      <w:pPr>
        <w:pStyle w:val="ListParagraph"/>
        <w:numPr>
          <w:ilvl w:val="0"/>
          <w:numId w:val="5"/>
        </w:numPr>
        <w:spacing w:after="240"/>
        <w:textAlignment w:val="baseline"/>
        <w:rPr>
          <w:rFonts w:cs="Arial"/>
        </w:rPr>
      </w:pPr>
      <w:r w:rsidRPr="00940517">
        <w:rPr>
          <w:rFonts w:cs="Arial"/>
        </w:rPr>
        <w:t>Enrolling in a non-DASS General Education Diploma program or Adult Education program,</w:t>
      </w:r>
    </w:p>
    <w:p w14:paraId="7708F842" w14:textId="296D3299" w:rsidR="00595D1F" w:rsidRPr="00940517" w:rsidRDefault="00595D1F" w:rsidP="00032798">
      <w:pPr>
        <w:pStyle w:val="ListParagraph"/>
        <w:numPr>
          <w:ilvl w:val="0"/>
          <w:numId w:val="5"/>
        </w:numPr>
        <w:spacing w:after="240"/>
        <w:textAlignment w:val="baseline"/>
        <w:rPr>
          <w:rFonts w:cs="Arial"/>
        </w:rPr>
      </w:pPr>
      <w:r w:rsidRPr="00940517">
        <w:rPr>
          <w:rFonts w:cs="Arial"/>
        </w:rPr>
        <w:t>Enrolling in a community college,</w:t>
      </w:r>
    </w:p>
    <w:p w14:paraId="2E28F0B7" w14:textId="77777777" w:rsidR="00595D1F" w:rsidRPr="00940517" w:rsidRDefault="00595D1F" w:rsidP="00032798">
      <w:pPr>
        <w:pStyle w:val="ListParagraph"/>
        <w:numPr>
          <w:ilvl w:val="0"/>
          <w:numId w:val="5"/>
        </w:numPr>
        <w:spacing w:after="240"/>
        <w:textAlignment w:val="baseline"/>
        <w:rPr>
          <w:rFonts w:cs="Arial"/>
        </w:rPr>
      </w:pPr>
      <w:r w:rsidRPr="00940517">
        <w:rPr>
          <w:rFonts w:cs="Arial"/>
        </w:rPr>
        <w:lastRenderedPageBreak/>
        <w:t xml:space="preserve">Joining the military, or </w:t>
      </w:r>
    </w:p>
    <w:p w14:paraId="73A77651" w14:textId="77777777" w:rsidR="00595D1F" w:rsidRPr="00940517" w:rsidRDefault="00595D1F" w:rsidP="00032798">
      <w:pPr>
        <w:pStyle w:val="ListParagraph"/>
        <w:numPr>
          <w:ilvl w:val="0"/>
          <w:numId w:val="5"/>
        </w:numPr>
        <w:spacing w:after="240"/>
        <w:textAlignment w:val="baseline"/>
        <w:rPr>
          <w:rFonts w:cs="Arial"/>
        </w:rPr>
      </w:pPr>
      <w:r w:rsidRPr="00940517">
        <w:rPr>
          <w:rFonts w:cs="Arial"/>
        </w:rPr>
        <w:t>Participating in the Job Corps or Youth Build Program</w:t>
      </w:r>
    </w:p>
    <w:p w14:paraId="27D8FD69" w14:textId="4AE602FD" w:rsidR="00595D1F" w:rsidRPr="00940517" w:rsidRDefault="00595D1F" w:rsidP="00E036FD">
      <w:pPr>
        <w:spacing w:before="240" w:after="240"/>
        <w:textAlignment w:val="baseline"/>
        <w:rPr>
          <w:rFonts w:cs="Arial"/>
        </w:rPr>
      </w:pPr>
      <w:r w:rsidRPr="00940517">
        <w:rPr>
          <w:rFonts w:cs="Arial"/>
        </w:rPr>
        <w:t>Reporting this rate would also signify whether students were dropping out from school altogether.</w:t>
      </w:r>
    </w:p>
    <w:p w14:paraId="6C76994B" w14:textId="5D3AE80E" w:rsidR="00595D1F" w:rsidRPr="00940517" w:rsidRDefault="00595D1F" w:rsidP="00E036FD">
      <w:pPr>
        <w:spacing w:after="240"/>
        <w:textAlignment w:val="baseline"/>
        <w:rPr>
          <w:rFonts w:cs="Arial"/>
        </w:rPr>
      </w:pPr>
      <w:r w:rsidRPr="00940517">
        <w:rPr>
          <w:rFonts w:cs="Arial"/>
        </w:rPr>
        <w:t xml:space="preserve">Because the inclusion of a new local indicator on the Dashboard would require a change </w:t>
      </w:r>
      <w:r w:rsidRPr="00940517">
        <w:t xml:space="preserve">in current statute, an alternative option is for the CDE to report this data through the School Dashboard Additional Reports. </w:t>
      </w:r>
      <w:r w:rsidRPr="00940517">
        <w:rPr>
          <w:rFonts w:cs="Arial"/>
        </w:rPr>
        <w:t>This proposed work was shared with the California Practitioners Advisory Group in February 2021, and the CDE will continue to meet with the Alternative Schools Task Force and other stakeholders to fine-tune the business rules used to calculate this rate.</w:t>
      </w:r>
    </w:p>
    <w:p w14:paraId="5DBE1952" w14:textId="1FB4FA8F" w:rsidR="00231F1C" w:rsidRPr="00940517" w:rsidRDefault="00F70802" w:rsidP="00DC1605">
      <w:pPr>
        <w:textAlignment w:val="baseline"/>
        <w:rPr>
          <w:rFonts w:cs="Arial"/>
        </w:rPr>
      </w:pPr>
      <w:r w:rsidRPr="00940517">
        <w:rPr>
          <w:rFonts w:cs="Arial"/>
        </w:rPr>
        <w:t>Regardless of the</w:t>
      </w:r>
      <w:r w:rsidR="00232BCF" w:rsidRPr="00940517">
        <w:rPr>
          <w:rFonts w:cs="Arial"/>
        </w:rPr>
        <w:t xml:space="preserve"> ED’s decision on the</w:t>
      </w:r>
      <w:r w:rsidR="00595D1F" w:rsidRPr="00940517">
        <w:rPr>
          <w:rFonts w:cs="Arial"/>
        </w:rPr>
        <w:t xml:space="preserve"> DASS, </w:t>
      </w:r>
      <w:r w:rsidR="00595D1F" w:rsidRPr="00940517">
        <w:rPr>
          <w:rStyle w:val="normaltextrun"/>
          <w:rFonts w:eastAsiaTheme="majorEastAsia" w:cs="Arial"/>
        </w:rPr>
        <w:t>reporting this data</w:t>
      </w:r>
      <w:r w:rsidR="00595D1F" w:rsidRPr="00940517">
        <w:rPr>
          <w:rFonts w:cs="Arial"/>
        </w:rPr>
        <w:t xml:space="preserve"> for informational purposes within the School Dashboard Additional Reports may provide valuable insight in the efforts made by DASS schools to these vulnerable youth. It could also provide additional data that may not always be available for these schools on the Dashboard due to small </w:t>
      </w:r>
      <w:r w:rsidR="00595D1F" w:rsidRPr="00940517">
        <w:rPr>
          <w:rFonts w:cs="Arial"/>
          <w:i/>
        </w:rPr>
        <w:t>n-</w:t>
      </w:r>
      <w:r w:rsidR="00595D1F" w:rsidRPr="00940517">
        <w:rPr>
          <w:rFonts w:cs="Arial"/>
        </w:rPr>
        <w:t>sizes and the limits placed on reporting small numbers for student privacy reasons.</w:t>
      </w:r>
    </w:p>
    <w:p w14:paraId="04548D53" w14:textId="17DF95CF" w:rsidR="004D5F07" w:rsidRPr="00940517" w:rsidRDefault="004D5F07" w:rsidP="00315BEC">
      <w:pPr>
        <w:pStyle w:val="Heading3"/>
      </w:pPr>
      <w:r w:rsidRPr="00940517">
        <w:t>Local Indicators</w:t>
      </w:r>
    </w:p>
    <w:p w14:paraId="49EC59E2" w14:textId="1062BB6D" w:rsidR="0079633E" w:rsidRPr="00940517" w:rsidRDefault="0079633E" w:rsidP="0079633E">
      <w:pPr>
        <w:spacing w:after="240"/>
        <w:rPr>
          <w:rFonts w:cs="Arial"/>
        </w:rPr>
      </w:pPr>
      <w:r w:rsidRPr="00940517">
        <w:rPr>
          <w:rFonts w:cs="Arial"/>
        </w:rPr>
        <w:t>The SBE adopted local indicators for those Local Control Funding Formula (LCFF) state priority areas where statewide data is not available. The SBE-adopted local indicators include performance standards for LEAs and self-reflection tools that LEAs use to report progress. LEAs are responsible for annually completing the local indicator self-reflection tools based on an assessment of locally collected data and input from educational partners, reporting progress to the local governing board or body of the LEA and uploading the results to the Dashboard. An LEA that meets the SBE-adopted performance standards will receive a status of Met in the Dashboard; an LEA that does not meet the SBE-adopted performance standards will receive a status of Not Met or Not Met for Two or More Years, as applicable.</w:t>
      </w:r>
    </w:p>
    <w:p w14:paraId="0B4109DF" w14:textId="3AB0368B" w:rsidR="0079633E" w:rsidRPr="00940517" w:rsidRDefault="0079633E" w:rsidP="0079633E">
      <w:pPr>
        <w:spacing w:after="240"/>
        <w:rPr>
          <w:rFonts w:cs="Arial"/>
        </w:rPr>
      </w:pPr>
      <w:r w:rsidRPr="00940517">
        <w:rPr>
          <w:rFonts w:cs="Arial"/>
        </w:rPr>
        <w:t>The SBE adopted local indicators for the following state priorities:</w:t>
      </w:r>
    </w:p>
    <w:p w14:paraId="59247086" w14:textId="77777777" w:rsidR="0079633E" w:rsidRPr="00940517" w:rsidRDefault="0079633E" w:rsidP="0079633E">
      <w:pPr>
        <w:pStyle w:val="ListParagraph"/>
        <w:numPr>
          <w:ilvl w:val="0"/>
          <w:numId w:val="16"/>
        </w:numPr>
        <w:spacing w:after="240"/>
        <w:rPr>
          <w:rFonts w:cs="Arial"/>
        </w:rPr>
      </w:pPr>
      <w:r w:rsidRPr="00940517">
        <w:rPr>
          <w:rFonts w:cs="Arial"/>
        </w:rPr>
        <w:t>Basic Services and Conditions – Appropriately Assigned Teachers, Access to Curriculum-Aligned Instructional Materials, and Safe, Clean and Functional School Facilities (Priority 1)</w:t>
      </w:r>
    </w:p>
    <w:p w14:paraId="65FDAD94" w14:textId="77777777" w:rsidR="0079633E" w:rsidRPr="00940517" w:rsidRDefault="0079633E" w:rsidP="0079633E">
      <w:pPr>
        <w:pStyle w:val="ListParagraph"/>
        <w:numPr>
          <w:ilvl w:val="0"/>
          <w:numId w:val="16"/>
        </w:numPr>
        <w:spacing w:after="240"/>
        <w:rPr>
          <w:rFonts w:cs="Arial"/>
        </w:rPr>
      </w:pPr>
      <w:r w:rsidRPr="00940517">
        <w:rPr>
          <w:rFonts w:cs="Arial"/>
        </w:rPr>
        <w:t>Implementation of State Academic Standards (Priority 2)</w:t>
      </w:r>
    </w:p>
    <w:p w14:paraId="4FF8EBFE" w14:textId="77777777" w:rsidR="0079633E" w:rsidRPr="00940517" w:rsidRDefault="0079633E" w:rsidP="0079633E">
      <w:pPr>
        <w:pStyle w:val="ListParagraph"/>
        <w:numPr>
          <w:ilvl w:val="0"/>
          <w:numId w:val="16"/>
        </w:numPr>
        <w:spacing w:after="240"/>
        <w:rPr>
          <w:rFonts w:cs="Arial"/>
        </w:rPr>
      </w:pPr>
      <w:r w:rsidRPr="00940517">
        <w:rPr>
          <w:rFonts w:cs="Arial"/>
        </w:rPr>
        <w:t>Parent Involvement and Family Engagement (Priority 3)</w:t>
      </w:r>
    </w:p>
    <w:p w14:paraId="1B825853" w14:textId="55D8B2F8" w:rsidR="0079633E" w:rsidRPr="00940517" w:rsidRDefault="0079633E" w:rsidP="0079633E">
      <w:pPr>
        <w:pStyle w:val="ListParagraph"/>
        <w:numPr>
          <w:ilvl w:val="0"/>
          <w:numId w:val="16"/>
        </w:numPr>
        <w:spacing w:after="240"/>
        <w:rPr>
          <w:rFonts w:cs="Arial"/>
        </w:rPr>
      </w:pPr>
      <w:r w:rsidRPr="00940517">
        <w:rPr>
          <w:rFonts w:cs="Arial"/>
        </w:rPr>
        <w:lastRenderedPageBreak/>
        <w:t xml:space="preserve">School Climate, specifically the sense of safety and school connectedness of </w:t>
      </w:r>
      <w:r w:rsidRPr="00940517">
        <w:t>students, parents, and teachers</w:t>
      </w:r>
      <w:r w:rsidRPr="00940517">
        <w:rPr>
          <w:rFonts w:cs="Arial"/>
        </w:rPr>
        <w:t xml:space="preserve"> (Priority 6)</w:t>
      </w:r>
    </w:p>
    <w:p w14:paraId="728334F3" w14:textId="77777777" w:rsidR="0079633E" w:rsidRPr="00940517" w:rsidRDefault="0079633E" w:rsidP="0079633E">
      <w:pPr>
        <w:pStyle w:val="ListParagraph"/>
        <w:numPr>
          <w:ilvl w:val="0"/>
          <w:numId w:val="16"/>
        </w:numPr>
        <w:spacing w:after="240"/>
        <w:rPr>
          <w:rFonts w:cs="Arial"/>
        </w:rPr>
      </w:pPr>
      <w:r w:rsidRPr="00940517">
        <w:rPr>
          <w:rFonts w:cs="Arial"/>
        </w:rPr>
        <w:t>Access to a Broad Course of Study (Priority 7)</w:t>
      </w:r>
    </w:p>
    <w:p w14:paraId="2E935573" w14:textId="77777777" w:rsidR="0079633E" w:rsidRPr="00940517" w:rsidRDefault="0079633E" w:rsidP="0079633E">
      <w:pPr>
        <w:pStyle w:val="ListParagraph"/>
        <w:numPr>
          <w:ilvl w:val="0"/>
          <w:numId w:val="16"/>
        </w:numPr>
        <w:spacing w:after="240"/>
        <w:rPr>
          <w:rFonts w:cs="Arial"/>
        </w:rPr>
      </w:pPr>
      <w:r w:rsidRPr="00940517">
        <w:rPr>
          <w:rFonts w:cs="Arial"/>
        </w:rPr>
        <w:t>Coordination of Services for Expelled Students (Priority 9; for COEs only)</w:t>
      </w:r>
    </w:p>
    <w:p w14:paraId="6541EA54" w14:textId="77777777" w:rsidR="0079633E" w:rsidRPr="00940517" w:rsidRDefault="0079633E" w:rsidP="0079633E">
      <w:pPr>
        <w:pStyle w:val="ListParagraph"/>
        <w:numPr>
          <w:ilvl w:val="0"/>
          <w:numId w:val="16"/>
        </w:numPr>
        <w:spacing w:after="240"/>
        <w:rPr>
          <w:rFonts w:cs="Arial"/>
        </w:rPr>
      </w:pPr>
      <w:r w:rsidRPr="00940517">
        <w:rPr>
          <w:rFonts w:cs="Arial"/>
        </w:rPr>
        <w:t>Coordination of Services for Foster Youth (Priority 10; for COEs only)</w:t>
      </w:r>
    </w:p>
    <w:p w14:paraId="2CC77248" w14:textId="437B8303" w:rsidR="0079633E" w:rsidRPr="00940517" w:rsidRDefault="0079633E" w:rsidP="0079633E">
      <w:pPr>
        <w:spacing w:after="240"/>
        <w:rPr>
          <w:rFonts w:cs="Arial"/>
        </w:rPr>
      </w:pPr>
      <w:r w:rsidRPr="00940517">
        <w:rPr>
          <w:rFonts w:cs="Arial"/>
        </w:rPr>
        <w:t xml:space="preserve">LEAs last reported performance levels for local indicators in 2019. </w:t>
      </w:r>
      <w:r w:rsidR="009E48D7" w:rsidRPr="00940517">
        <w:rPr>
          <w:rFonts w:cs="Arial"/>
        </w:rPr>
        <w:t>In</w:t>
      </w:r>
      <w:r w:rsidR="68935035" w:rsidRPr="00940517">
        <w:rPr>
          <w:rFonts w:cs="Arial"/>
        </w:rPr>
        <w:t xml:space="preserve"> </w:t>
      </w:r>
      <w:r w:rsidRPr="00940517">
        <w:rPr>
          <w:rFonts w:cs="Arial"/>
        </w:rPr>
        <w:t>2020, state legislation suspended the requirement to report local indicators and in 2021, the requirement to report on local indicators resumed</w:t>
      </w:r>
      <w:r w:rsidR="00BC7CA8" w:rsidRPr="00940517">
        <w:rPr>
          <w:rFonts w:cs="Arial"/>
        </w:rPr>
        <w:t xml:space="preserve"> for informational purposes</w:t>
      </w:r>
      <w:r w:rsidRPr="00940517">
        <w:rPr>
          <w:rFonts w:cs="Arial"/>
        </w:rPr>
        <w:t xml:space="preserve"> on the 2021 Dashboard. </w:t>
      </w:r>
    </w:p>
    <w:p w14:paraId="106E0CA0" w14:textId="77777777" w:rsidR="00377713" w:rsidRPr="00940517" w:rsidRDefault="00377713" w:rsidP="00014846">
      <w:pPr>
        <w:pStyle w:val="Heading4"/>
        <w:rPr>
          <w:rStyle w:val="Heading2Char"/>
          <w:b/>
          <w:sz w:val="28"/>
          <w:szCs w:val="24"/>
        </w:rPr>
      </w:pPr>
      <w:r w:rsidRPr="00940517">
        <w:t xml:space="preserve">Overview and </w:t>
      </w:r>
      <w:r w:rsidRPr="00940517">
        <w:rPr>
          <w:rStyle w:val="Heading2Char"/>
          <w:b/>
          <w:sz w:val="28"/>
          <w:szCs w:val="24"/>
        </w:rPr>
        <w:t>Implementation of Senate Bill 75</w:t>
      </w:r>
    </w:p>
    <w:p w14:paraId="1C658CFD" w14:textId="5A79DEBC" w:rsidR="00377713" w:rsidRPr="00940517" w:rsidRDefault="00377713" w:rsidP="00377713">
      <w:pPr>
        <w:shd w:val="clear" w:color="auto" w:fill="FFFFFF"/>
        <w:spacing w:before="100" w:beforeAutospacing="1" w:after="100" w:afterAutospacing="1"/>
        <w:rPr>
          <w:rFonts w:cs="Arial"/>
        </w:rPr>
      </w:pPr>
      <w:r w:rsidRPr="00940517">
        <w:rPr>
          <w:rFonts w:cs="Arial"/>
        </w:rPr>
        <w:t>Senate Bill (SB) 75 (Chapter 51, Statutes of 2019) requires that “n</w:t>
      </w:r>
      <w:r w:rsidRPr="00940517">
        <w:rPr>
          <w:rFonts w:cs="Arial"/>
          <w:bCs/>
        </w:rPr>
        <w:t xml:space="preserve">o later than January 31, 2021, local indicators shall reflect school-level data to the extent the department collects or otherwise has access to relevant and reliable school-level data for all schools statewide.” </w:t>
      </w:r>
      <w:r w:rsidRPr="00940517">
        <w:rPr>
          <w:rFonts w:cs="Arial"/>
        </w:rPr>
        <w:t>Based on this language</w:t>
      </w:r>
      <w:r w:rsidR="00BC7CA8" w:rsidRPr="00940517">
        <w:rPr>
          <w:rFonts w:cs="Arial"/>
        </w:rPr>
        <w:t xml:space="preserve">, </w:t>
      </w:r>
      <w:r w:rsidR="68935035" w:rsidRPr="00940517">
        <w:rPr>
          <w:rFonts w:cs="Arial"/>
        </w:rPr>
        <w:t xml:space="preserve">the CDE </w:t>
      </w:r>
      <w:r w:rsidRPr="00940517">
        <w:rPr>
          <w:rFonts w:cs="Arial"/>
        </w:rPr>
        <w:t>reviewed the local indicators and one data point from Priority 1, related to the assignment of teachers, met the criteria outlined in SB 75.</w:t>
      </w:r>
    </w:p>
    <w:p w14:paraId="1BCCC522" w14:textId="14B358E7" w:rsidR="00377713" w:rsidRPr="00940517" w:rsidRDefault="00377713" w:rsidP="00377713">
      <w:pPr>
        <w:spacing w:before="240" w:after="240"/>
        <w:rPr>
          <w:rFonts w:cs="Arial"/>
        </w:rPr>
      </w:pPr>
      <w:r w:rsidRPr="00940517">
        <w:rPr>
          <w:rFonts w:cs="Arial"/>
        </w:rPr>
        <w:t xml:space="preserve">The CDE annually collects staffing information through CALPADS. This data is matched with data collected by the Commission on Teacher Credentialing, which allows the CDE </w:t>
      </w:r>
      <w:r w:rsidR="004453BC" w:rsidRPr="00940517">
        <w:rPr>
          <w:rFonts w:cs="Arial"/>
        </w:rPr>
        <w:t xml:space="preserve">to </w:t>
      </w:r>
      <w:r w:rsidRPr="00940517">
        <w:rPr>
          <w:rFonts w:cs="Arial"/>
        </w:rPr>
        <w:t xml:space="preserve">meet the necessary reporting requirements in California’s ESSA State Plan. In 2018, the CDE and the CTC signed a data sharing memorandum of understanding (MOU) to formally exchange teacher and credential data. Since that time, the parties have worked on developing an expanded data exchange to allow the CDE to begin reporting on </w:t>
      </w:r>
      <w:proofErr w:type="spellStart"/>
      <w:r w:rsidRPr="00940517">
        <w:rPr>
          <w:rFonts w:cs="Arial"/>
        </w:rPr>
        <w:t>misassignment</w:t>
      </w:r>
      <w:proofErr w:type="spellEnd"/>
      <w:r w:rsidRPr="00940517">
        <w:rPr>
          <w:rFonts w:cs="Arial"/>
        </w:rPr>
        <w:t xml:space="preserve"> data at the state, LEA, and school level</w:t>
      </w:r>
      <w:r w:rsidR="004453BC" w:rsidRPr="00940517">
        <w:rPr>
          <w:rFonts w:cs="Arial"/>
        </w:rPr>
        <w:t>s</w:t>
      </w:r>
      <w:r w:rsidRPr="00940517">
        <w:rPr>
          <w:rFonts w:cs="Arial"/>
        </w:rPr>
        <w:t>. The CDE is working on completing the processing of these data with the appropriate definitions applied for reporting in Spring 2022.</w:t>
      </w:r>
    </w:p>
    <w:p w14:paraId="341E24CF" w14:textId="644DF493" w:rsidR="004D5F07" w:rsidRPr="00940517" w:rsidRDefault="00C714F5" w:rsidP="00377713">
      <w:pPr>
        <w:spacing w:after="240"/>
        <w:rPr>
          <w:rFonts w:eastAsia="Arial" w:cs="Arial"/>
          <w:color w:val="000000" w:themeColor="text1"/>
        </w:rPr>
      </w:pPr>
      <w:r w:rsidRPr="00940517">
        <w:rPr>
          <w:rFonts w:cs="Arial"/>
        </w:rPr>
        <w:t xml:space="preserve">Accordingly, for the first time the CDE will prepopulate the 2022 Dashboard with </w:t>
      </w:r>
      <w:r w:rsidRPr="00940517">
        <w:rPr>
          <w:rFonts w:eastAsia="Arial" w:cs="Arial"/>
          <w:color w:val="000000" w:themeColor="text1"/>
        </w:rPr>
        <w:t xml:space="preserve">teacher assignment data for Priority Area 1 of the local indicators </w:t>
      </w:r>
      <w:r w:rsidRPr="00940517">
        <w:rPr>
          <w:rFonts w:cs="Arial"/>
        </w:rPr>
        <w:t>for informational purposes from the most recent matched set of data from CTC.</w:t>
      </w:r>
      <w:r w:rsidRPr="00940517">
        <w:rPr>
          <w:rFonts w:eastAsia="Arial" w:cs="Arial"/>
          <w:color w:val="000000" w:themeColor="text1"/>
        </w:rPr>
        <w:t xml:space="preserve"> Additionally, the CDE plans to </w:t>
      </w:r>
      <w:r w:rsidRPr="00940517">
        <w:rPr>
          <w:rFonts w:cs="Arial"/>
        </w:rPr>
        <w:t xml:space="preserve">work with educational partners to develop objective criteria. </w:t>
      </w:r>
      <w:r w:rsidRPr="00940517">
        <w:rPr>
          <w:rFonts w:eastAsia="Arial" w:cs="Arial"/>
          <w:color w:val="000000" w:themeColor="text1"/>
        </w:rPr>
        <w:t>Additional work will be done to determine the feasibility of these criteria considering that teacher assignment data represent only one of the three component pieces included within Priority Area 1 in order to accurately and appropriately report these data in future Dashboards.</w:t>
      </w:r>
    </w:p>
    <w:p w14:paraId="70A2BA88" w14:textId="299A5CFD" w:rsidR="004D5F07" w:rsidRPr="00940517" w:rsidRDefault="004D5F07" w:rsidP="00DC684D">
      <w:pPr>
        <w:pStyle w:val="Heading3"/>
      </w:pPr>
      <w:r w:rsidRPr="00940517">
        <w:lastRenderedPageBreak/>
        <w:t>Eligibility for Support</w:t>
      </w:r>
    </w:p>
    <w:p w14:paraId="5FBA0F08" w14:textId="03635BBD" w:rsidR="0F93D1D5" w:rsidRPr="00940517" w:rsidRDefault="0F93D1D5" w:rsidP="00DC684D">
      <w:pPr>
        <w:pStyle w:val="Heading4"/>
      </w:pPr>
      <w:r w:rsidRPr="00940517">
        <w:t>Comprehensive Support and Improvement</w:t>
      </w:r>
    </w:p>
    <w:p w14:paraId="6DF436C3" w14:textId="43A518C5" w:rsidR="00B16DD8" w:rsidRPr="00940517" w:rsidRDefault="00B16DD8" w:rsidP="00AF787A">
      <w:pPr>
        <w:spacing w:after="240"/>
        <w:rPr>
          <w:rFonts w:ascii="Helvetica" w:eastAsia="Helvetica" w:hAnsi="Helvetica" w:cs="Helvetica"/>
          <w:color w:val="000000" w:themeColor="text1"/>
        </w:rPr>
      </w:pPr>
      <w:r w:rsidRPr="00940517">
        <w:rPr>
          <w:rFonts w:ascii="Helvetica" w:eastAsia="Helvetica" w:hAnsi="Helvetica" w:cs="Helvetica"/>
          <w:color w:val="000000" w:themeColor="text1"/>
        </w:rPr>
        <w:t>On an annual basis, states are required under the ESSA to determine which schools were eligible for Comprehensive Support and Improvement (CSI) based on the criteria in their State Plan. Such determinations typically must occur at least once every three years. However, in a letter dated November 8, 2019, approving the amendments to the 2018 ESSA State Plan, the U.S. Department of Education (ED) required California to determine school eligibility for CSI again in 2019–2020, to allow for the inclusion of the ELPI. ESSA also requires that states determine which schools are eligible for Targeted Support and Improvement (TSI), based on student group performance. Under California’s ESSA Plan, schools that are not eligible for CSI will be eligible for TSI regardless of their Title I funding status if they have one or more student groups(s) that, for two consecutive years, meet the criteria applied to determine at least the lowest performing 5 percent of Title I schools. The last time schools were identified for CSI and ATSI was based on data from the 2019 Dashboard.</w:t>
      </w:r>
    </w:p>
    <w:p w14:paraId="6113EB3C" w14:textId="31660867" w:rsidR="00D94D1B" w:rsidRPr="00940517" w:rsidRDefault="3289A2EC" w:rsidP="00AF787A">
      <w:pPr>
        <w:spacing w:after="240"/>
        <w:rPr>
          <w:rFonts w:ascii="Helvetica" w:eastAsia="Helvetica" w:hAnsi="Helvetica" w:cs="Helvetica"/>
          <w:color w:val="000000" w:themeColor="text1"/>
        </w:rPr>
      </w:pPr>
      <w:r w:rsidRPr="00940517">
        <w:rPr>
          <w:rFonts w:ascii="Helvetica" w:eastAsia="Helvetica" w:hAnsi="Helvetica" w:cs="Helvetica"/>
          <w:color w:val="000000" w:themeColor="text1"/>
        </w:rPr>
        <w:t xml:space="preserve">Due to the COVID-19 pandemic, California received a federal accountability waiver of </w:t>
      </w:r>
      <w:r w:rsidR="002455DB" w:rsidRPr="00940517">
        <w:rPr>
          <w:rFonts w:ascii="Helvetica" w:eastAsia="Helvetica" w:hAnsi="Helvetica" w:cs="Helvetica"/>
          <w:color w:val="000000" w:themeColor="text1"/>
        </w:rPr>
        <w:t xml:space="preserve">identification of schools in 2019 and </w:t>
      </w:r>
      <w:r w:rsidRPr="00940517">
        <w:rPr>
          <w:rFonts w:ascii="Helvetica" w:eastAsia="Helvetica" w:hAnsi="Helvetica" w:cs="Helvetica"/>
          <w:color w:val="000000" w:themeColor="text1"/>
        </w:rPr>
        <w:t xml:space="preserve">2020. As a result, schools designated as </w:t>
      </w:r>
      <w:r w:rsidR="500863A5" w:rsidRPr="00940517">
        <w:rPr>
          <w:rFonts w:ascii="Helvetica" w:eastAsia="Helvetica" w:hAnsi="Helvetica" w:cs="Helvetica"/>
          <w:color w:val="000000" w:themeColor="text1"/>
        </w:rPr>
        <w:t>eligible for</w:t>
      </w:r>
      <w:r w:rsidRPr="00940517">
        <w:rPr>
          <w:rFonts w:ascii="Helvetica" w:eastAsia="Helvetica" w:hAnsi="Helvetica" w:cs="Helvetica"/>
          <w:color w:val="000000" w:themeColor="text1"/>
        </w:rPr>
        <w:t xml:space="preserve"> </w:t>
      </w:r>
      <w:r w:rsidR="00546BBE" w:rsidRPr="00940517">
        <w:rPr>
          <w:rFonts w:eastAsia="Arial" w:cs="Arial"/>
        </w:rPr>
        <w:t>CSI</w:t>
      </w:r>
      <w:r w:rsidR="00B16DD8" w:rsidRPr="00940517">
        <w:rPr>
          <w:rFonts w:eastAsia="Arial" w:cs="Arial"/>
        </w:rPr>
        <w:t xml:space="preserve"> and </w:t>
      </w:r>
      <w:r w:rsidR="00546BBE" w:rsidRPr="00940517">
        <w:rPr>
          <w:rFonts w:eastAsia="Arial" w:cs="Arial"/>
        </w:rPr>
        <w:t>ATSI</w:t>
      </w:r>
      <w:r w:rsidRPr="00940517">
        <w:rPr>
          <w:rFonts w:ascii="Helvetica" w:eastAsia="Helvetica" w:hAnsi="Helvetica" w:cs="Helvetica"/>
          <w:color w:val="000000" w:themeColor="text1"/>
        </w:rPr>
        <w:t xml:space="preserve"> in 201</w:t>
      </w:r>
      <w:r w:rsidR="148FAD19" w:rsidRPr="00940517">
        <w:rPr>
          <w:rFonts w:ascii="Helvetica" w:eastAsia="Helvetica" w:hAnsi="Helvetica" w:cs="Helvetica"/>
          <w:color w:val="000000" w:themeColor="text1"/>
        </w:rPr>
        <w:t>8</w:t>
      </w:r>
      <w:r w:rsidR="00216994" w:rsidRPr="00940517">
        <w:rPr>
          <w:rFonts w:eastAsia="Helvetica" w:cs="Arial"/>
          <w:color w:val="000000" w:themeColor="text1"/>
        </w:rPr>
        <w:t>–</w:t>
      </w:r>
      <w:r w:rsidR="148FAD19" w:rsidRPr="00940517">
        <w:rPr>
          <w:rFonts w:ascii="Helvetica" w:eastAsia="Helvetica" w:hAnsi="Helvetica" w:cs="Helvetica"/>
          <w:color w:val="000000" w:themeColor="text1"/>
        </w:rPr>
        <w:t>19</w:t>
      </w:r>
      <w:r w:rsidRPr="00940517">
        <w:rPr>
          <w:rFonts w:ascii="Helvetica" w:eastAsia="Helvetica" w:hAnsi="Helvetica" w:cs="Helvetica"/>
          <w:color w:val="000000" w:themeColor="text1"/>
        </w:rPr>
        <w:t xml:space="preserve"> remained in place </w:t>
      </w:r>
      <w:r w:rsidR="008515AA" w:rsidRPr="00940517">
        <w:rPr>
          <w:rFonts w:ascii="Helvetica" w:eastAsia="Helvetica" w:hAnsi="Helvetica" w:cs="Helvetica"/>
          <w:color w:val="000000" w:themeColor="text1"/>
        </w:rPr>
        <w:t>through</w:t>
      </w:r>
      <w:r w:rsidRPr="00940517">
        <w:rPr>
          <w:rFonts w:ascii="Helvetica" w:eastAsia="Helvetica" w:hAnsi="Helvetica" w:cs="Helvetica"/>
          <w:color w:val="000000" w:themeColor="text1"/>
        </w:rPr>
        <w:t xml:space="preserve"> 2020–21</w:t>
      </w:r>
      <w:r w:rsidR="4D522E08" w:rsidRPr="00940517">
        <w:rPr>
          <w:rFonts w:ascii="Helvetica" w:eastAsia="Helvetica" w:hAnsi="Helvetica" w:cs="Helvetica"/>
          <w:color w:val="000000" w:themeColor="text1"/>
        </w:rPr>
        <w:t xml:space="preserve"> with the exception of those schools with a three-year school-wide average graduation rate at or above 68 percent for the 2017–18, 2018–19, and 2019</w:t>
      </w:r>
      <w:r w:rsidR="1E227222" w:rsidRPr="00940517">
        <w:rPr>
          <w:rFonts w:ascii="Helvetica" w:eastAsia="Helvetica" w:hAnsi="Helvetica" w:cs="Helvetica"/>
          <w:color w:val="000000" w:themeColor="text1"/>
        </w:rPr>
        <w:t>–20 school years</w:t>
      </w:r>
      <w:r w:rsidR="03DB7B1F" w:rsidRPr="00940517">
        <w:rPr>
          <w:rFonts w:ascii="Helvetica" w:eastAsia="Helvetica" w:hAnsi="Helvetica" w:cs="Helvetica"/>
          <w:color w:val="000000" w:themeColor="text1"/>
        </w:rPr>
        <w:t xml:space="preserve"> which exited the CSI – Low Graduation Rate Schools category</w:t>
      </w:r>
      <w:r w:rsidRPr="00940517">
        <w:rPr>
          <w:rFonts w:ascii="Helvetica" w:eastAsia="Helvetica" w:hAnsi="Helvetica" w:cs="Helvetica"/>
          <w:color w:val="000000" w:themeColor="text1"/>
        </w:rPr>
        <w:t xml:space="preserve">. </w:t>
      </w:r>
      <w:r w:rsidR="32383E7A" w:rsidRPr="00940517">
        <w:rPr>
          <w:rFonts w:ascii="Helvetica" w:eastAsia="Helvetica" w:hAnsi="Helvetica" w:cs="Helvetica"/>
          <w:color w:val="000000" w:themeColor="text1"/>
        </w:rPr>
        <w:t>For</w:t>
      </w:r>
      <w:r w:rsidRPr="00940517">
        <w:rPr>
          <w:rFonts w:ascii="Helvetica" w:eastAsia="Helvetica" w:hAnsi="Helvetica" w:cs="Helvetica"/>
          <w:color w:val="000000" w:themeColor="text1"/>
        </w:rPr>
        <w:t xml:space="preserve"> </w:t>
      </w:r>
      <w:r w:rsidR="0C7414FE" w:rsidRPr="00940517">
        <w:rPr>
          <w:rFonts w:ascii="Helvetica" w:eastAsia="Helvetica" w:hAnsi="Helvetica" w:cs="Helvetica"/>
          <w:color w:val="000000" w:themeColor="text1"/>
        </w:rPr>
        <w:t xml:space="preserve">the </w:t>
      </w:r>
      <w:r w:rsidR="1505A621" w:rsidRPr="00940517">
        <w:rPr>
          <w:rFonts w:ascii="Helvetica" w:eastAsia="Helvetica" w:hAnsi="Helvetica" w:cs="Helvetica"/>
          <w:color w:val="000000" w:themeColor="text1"/>
        </w:rPr>
        <w:t>upcoming</w:t>
      </w:r>
      <w:r w:rsidRPr="00940517">
        <w:rPr>
          <w:rFonts w:ascii="Helvetica" w:eastAsia="Helvetica" w:hAnsi="Helvetica" w:cs="Helvetica"/>
          <w:color w:val="000000" w:themeColor="text1"/>
        </w:rPr>
        <w:t xml:space="preserve"> ESSA assistance</w:t>
      </w:r>
      <w:r w:rsidR="4045334A" w:rsidRPr="00940517">
        <w:rPr>
          <w:rFonts w:ascii="Helvetica" w:eastAsia="Helvetica" w:hAnsi="Helvetica" w:cs="Helvetica"/>
          <w:color w:val="000000" w:themeColor="text1"/>
        </w:rPr>
        <w:t xml:space="preserve"> file based on results from the 2022 Dashboard</w:t>
      </w:r>
      <w:r w:rsidRPr="00940517">
        <w:rPr>
          <w:rFonts w:ascii="Helvetica" w:eastAsia="Helvetica" w:hAnsi="Helvetica" w:cs="Helvetica"/>
          <w:color w:val="000000" w:themeColor="text1"/>
        </w:rPr>
        <w:t xml:space="preserve">, schools with a three-year school-wide (i.e., 2018–19, 2019–20, and 2020–21 school years) average graduation rate at or above 68 percent </w:t>
      </w:r>
      <w:r w:rsidR="5660C0EF" w:rsidRPr="00940517">
        <w:rPr>
          <w:rFonts w:ascii="Helvetica" w:eastAsia="Helvetica" w:hAnsi="Helvetica" w:cs="Helvetica"/>
          <w:color w:val="000000" w:themeColor="text1"/>
        </w:rPr>
        <w:t xml:space="preserve">will </w:t>
      </w:r>
      <w:r w:rsidR="1147E562" w:rsidRPr="00940517">
        <w:rPr>
          <w:rFonts w:ascii="Helvetica" w:eastAsia="Helvetica" w:hAnsi="Helvetica" w:cs="Helvetica"/>
          <w:color w:val="000000" w:themeColor="text1"/>
        </w:rPr>
        <w:t xml:space="preserve">be </w:t>
      </w:r>
      <w:r w:rsidR="5660C0EF" w:rsidRPr="00940517">
        <w:rPr>
          <w:rFonts w:ascii="Helvetica" w:eastAsia="Helvetica" w:hAnsi="Helvetica" w:cs="Helvetica"/>
          <w:color w:val="000000" w:themeColor="text1"/>
        </w:rPr>
        <w:t>exit</w:t>
      </w:r>
      <w:r w:rsidR="436FE97C" w:rsidRPr="00940517">
        <w:rPr>
          <w:rFonts w:ascii="Helvetica" w:eastAsia="Helvetica" w:hAnsi="Helvetica" w:cs="Helvetica"/>
          <w:color w:val="000000" w:themeColor="text1"/>
        </w:rPr>
        <w:t>ed from</w:t>
      </w:r>
      <w:r w:rsidRPr="00940517">
        <w:rPr>
          <w:rFonts w:ascii="Helvetica" w:eastAsia="Helvetica" w:hAnsi="Helvetica" w:cs="Helvetica"/>
          <w:color w:val="000000" w:themeColor="text1"/>
        </w:rPr>
        <w:t xml:space="preserve"> the CSI – Low Graduation Rate Schools category.</w:t>
      </w:r>
    </w:p>
    <w:p w14:paraId="72FEE53D" w14:textId="4E4CBB7F" w:rsidR="44A49542" w:rsidRPr="00940517" w:rsidRDefault="29316264" w:rsidP="7F9BDA6F">
      <w:pPr>
        <w:spacing w:after="240"/>
        <w:rPr>
          <w:rFonts w:eastAsia="Arial" w:cs="Arial"/>
        </w:rPr>
      </w:pPr>
      <w:r w:rsidRPr="00940517">
        <w:rPr>
          <w:rFonts w:eastAsia="Arial" w:cs="Arial"/>
        </w:rPr>
        <w:t xml:space="preserve">The CDE </w:t>
      </w:r>
      <w:r w:rsidR="6BE3FA58" w:rsidRPr="00940517">
        <w:rPr>
          <w:rFonts w:eastAsia="Arial" w:cs="Arial"/>
        </w:rPr>
        <w:t xml:space="preserve">is required </w:t>
      </w:r>
      <w:r w:rsidRPr="00940517">
        <w:rPr>
          <w:rFonts w:eastAsia="Arial" w:cs="Arial"/>
        </w:rPr>
        <w:t xml:space="preserve">to determine eligibility for CSI and ATSI </w:t>
      </w:r>
      <w:r w:rsidR="7295F3B9" w:rsidRPr="00940517">
        <w:rPr>
          <w:rFonts w:eastAsia="Arial" w:cs="Arial"/>
        </w:rPr>
        <w:t>based on 2022 Dashboard results</w:t>
      </w:r>
      <w:r w:rsidRPr="00940517">
        <w:rPr>
          <w:rFonts w:eastAsia="Arial" w:cs="Arial"/>
        </w:rPr>
        <w:t xml:space="preserve">. Additionally, </w:t>
      </w:r>
      <w:r w:rsidR="6BE3FA58" w:rsidRPr="00940517">
        <w:rPr>
          <w:rFonts w:eastAsia="Arial" w:cs="Arial"/>
        </w:rPr>
        <w:t>t</w:t>
      </w:r>
      <w:r w:rsidRPr="00940517">
        <w:rPr>
          <w:rFonts w:eastAsia="Arial" w:cs="Arial"/>
        </w:rPr>
        <w:t xml:space="preserve">hrough the </w:t>
      </w:r>
      <w:r w:rsidR="16252E85" w:rsidRPr="00940517">
        <w:rPr>
          <w:rFonts w:eastAsia="Arial" w:cs="Arial"/>
        </w:rPr>
        <w:t xml:space="preserve">Consolidated </w:t>
      </w:r>
      <w:r w:rsidRPr="00940517">
        <w:rPr>
          <w:rFonts w:eastAsia="Arial" w:cs="Arial"/>
        </w:rPr>
        <w:t xml:space="preserve">State Plan </w:t>
      </w:r>
      <w:r w:rsidR="6BE3FA58" w:rsidRPr="00940517">
        <w:rPr>
          <w:rFonts w:eastAsia="Arial" w:cs="Arial"/>
        </w:rPr>
        <w:t>A</w:t>
      </w:r>
      <w:r w:rsidRPr="00940517">
        <w:rPr>
          <w:rFonts w:eastAsia="Arial" w:cs="Arial"/>
        </w:rPr>
        <w:t>ddendum</w:t>
      </w:r>
      <w:r w:rsidR="16252E85" w:rsidRPr="00940517">
        <w:rPr>
          <w:rFonts w:eastAsia="Arial" w:cs="Arial"/>
        </w:rPr>
        <w:t xml:space="preserve"> due to COVID-19 </w:t>
      </w:r>
      <w:r w:rsidR="6BE3FA58" w:rsidRPr="00940517">
        <w:rPr>
          <w:rFonts w:eastAsia="Arial" w:cs="Arial"/>
        </w:rPr>
        <w:t>(</w:t>
      </w:r>
      <w:r w:rsidR="7B0E3CB2" w:rsidRPr="00940517">
        <w:rPr>
          <w:rFonts w:eastAsia="Arial" w:cs="Arial"/>
        </w:rPr>
        <w:t>Attachment</w:t>
      </w:r>
      <w:r w:rsidR="6BE3FA58" w:rsidRPr="00940517">
        <w:rPr>
          <w:rFonts w:eastAsia="Arial" w:cs="Arial"/>
        </w:rPr>
        <w:t xml:space="preserve"> </w:t>
      </w:r>
      <w:r w:rsidR="16252E85" w:rsidRPr="00940517">
        <w:rPr>
          <w:rFonts w:eastAsia="Arial" w:cs="Arial"/>
        </w:rPr>
        <w:t>4</w:t>
      </w:r>
      <w:r w:rsidR="6BE3FA58" w:rsidRPr="00940517">
        <w:rPr>
          <w:rFonts w:eastAsia="Arial" w:cs="Arial"/>
        </w:rPr>
        <w:t xml:space="preserve">) the CDE is asking the SBE </w:t>
      </w:r>
      <w:r w:rsidRPr="00940517">
        <w:rPr>
          <w:rFonts w:eastAsia="Arial" w:cs="Arial"/>
        </w:rPr>
        <w:t xml:space="preserve">to </w:t>
      </w:r>
      <w:r w:rsidR="6BE3FA58" w:rsidRPr="00940517">
        <w:rPr>
          <w:rFonts w:eastAsia="Arial" w:cs="Arial"/>
        </w:rPr>
        <w:t xml:space="preserve">approve the </w:t>
      </w:r>
      <w:r w:rsidRPr="00940517">
        <w:rPr>
          <w:rFonts w:eastAsia="Arial" w:cs="Arial"/>
        </w:rPr>
        <w:t>modif</w:t>
      </w:r>
      <w:r w:rsidR="6BE3FA58" w:rsidRPr="00940517">
        <w:rPr>
          <w:rFonts w:eastAsia="Arial" w:cs="Arial"/>
        </w:rPr>
        <w:t>ication for</w:t>
      </w:r>
      <w:r w:rsidRPr="00940517">
        <w:rPr>
          <w:rFonts w:eastAsia="Arial" w:cs="Arial"/>
        </w:rPr>
        <w:t xml:space="preserve"> both entry and exit criteria based on the 2022 Dashboard</w:t>
      </w:r>
      <w:r w:rsidR="4CE22918" w:rsidRPr="00940517">
        <w:rPr>
          <w:rFonts w:eastAsia="Arial" w:cs="Arial"/>
        </w:rPr>
        <w:t xml:space="preserve"> results</w:t>
      </w:r>
      <w:r w:rsidRPr="00940517">
        <w:rPr>
          <w:rFonts w:eastAsia="Arial" w:cs="Arial"/>
        </w:rPr>
        <w:t xml:space="preserve">. The CDE </w:t>
      </w:r>
      <w:r w:rsidR="00AE55CA" w:rsidRPr="00940517">
        <w:rPr>
          <w:rFonts w:eastAsia="Arial" w:cs="Arial"/>
        </w:rPr>
        <w:t xml:space="preserve">tentatively </w:t>
      </w:r>
      <w:r w:rsidRPr="00940517">
        <w:rPr>
          <w:rFonts w:eastAsia="Arial" w:cs="Arial"/>
        </w:rPr>
        <w:t>plans to resume the three-year cycle for 2023–24 ESSA assistance determinations. This will also allow the CDE to align ESSA eligibility determinations with the LCFF cycle.</w:t>
      </w:r>
    </w:p>
    <w:p w14:paraId="6E42F223" w14:textId="3A235466" w:rsidR="0F93D1D5" w:rsidRPr="00940517" w:rsidRDefault="0F93D1D5" w:rsidP="00315BEC">
      <w:pPr>
        <w:pStyle w:val="Heading4"/>
      </w:pPr>
      <w:r w:rsidRPr="00940517">
        <w:t>Differentiated Assistance</w:t>
      </w:r>
    </w:p>
    <w:p w14:paraId="467A429A" w14:textId="3549234E" w:rsidR="3D861AFB" w:rsidRPr="00940517" w:rsidRDefault="000B4999" w:rsidP="0182D7D6">
      <w:pPr>
        <w:spacing w:after="240"/>
      </w:pPr>
      <w:r w:rsidRPr="00940517">
        <w:rPr>
          <w:rFonts w:eastAsia="Arial" w:cs="Arial"/>
        </w:rPr>
        <w:t>Un</w:t>
      </w:r>
      <w:r w:rsidRPr="00940517">
        <w:rPr>
          <w:rFonts w:eastAsia="Arial" w:cs="Arial"/>
          <w:spacing w:val="1"/>
        </w:rPr>
        <w:t>de</w:t>
      </w:r>
      <w:r w:rsidRPr="00940517">
        <w:rPr>
          <w:rFonts w:eastAsia="Arial" w:cs="Arial"/>
        </w:rPr>
        <w:t xml:space="preserve">r the </w:t>
      </w:r>
      <w:r w:rsidRPr="00940517">
        <w:rPr>
          <w:rFonts w:eastAsia="Arial" w:cs="Arial"/>
          <w:spacing w:val="1"/>
        </w:rPr>
        <w:t>L</w:t>
      </w:r>
      <w:r w:rsidRPr="00940517">
        <w:rPr>
          <w:rFonts w:eastAsia="Arial" w:cs="Arial"/>
        </w:rPr>
        <w:t>C</w:t>
      </w:r>
      <w:r w:rsidRPr="00940517">
        <w:rPr>
          <w:rFonts w:eastAsia="Arial" w:cs="Arial"/>
          <w:spacing w:val="-1"/>
        </w:rPr>
        <w:t>F</w:t>
      </w:r>
      <w:r w:rsidRPr="00940517">
        <w:rPr>
          <w:rFonts w:eastAsia="Arial" w:cs="Arial"/>
        </w:rPr>
        <w:t>F,</w:t>
      </w:r>
      <w:r w:rsidRPr="00940517">
        <w:rPr>
          <w:rFonts w:eastAsia="Arial" w:cs="Arial"/>
          <w:spacing w:val="1"/>
        </w:rPr>
        <w:t xml:space="preserve"> L</w:t>
      </w:r>
      <w:r w:rsidRPr="00940517">
        <w:rPr>
          <w:rFonts w:eastAsia="Arial" w:cs="Arial"/>
          <w:spacing w:val="-2"/>
        </w:rPr>
        <w:t>E</w:t>
      </w:r>
      <w:r w:rsidRPr="00940517">
        <w:rPr>
          <w:rFonts w:eastAsia="Arial" w:cs="Arial"/>
          <w:spacing w:val="4"/>
        </w:rPr>
        <w:t>A</w:t>
      </w:r>
      <w:r w:rsidRPr="00940517">
        <w:rPr>
          <w:rFonts w:eastAsia="Arial" w:cs="Arial"/>
        </w:rPr>
        <w:t xml:space="preserve">s including districts, county offices of education (COEs), and charter schools </w:t>
      </w:r>
      <w:r w:rsidRPr="00940517">
        <w:rPr>
          <w:rFonts w:eastAsia="Arial" w:cs="Arial"/>
          <w:spacing w:val="1"/>
        </w:rPr>
        <w:t>a</w:t>
      </w:r>
      <w:r w:rsidRPr="00940517">
        <w:rPr>
          <w:rFonts w:eastAsia="Arial" w:cs="Arial"/>
        </w:rPr>
        <w:t>re</w:t>
      </w:r>
      <w:r w:rsidRPr="00940517">
        <w:rPr>
          <w:rFonts w:eastAsia="Arial" w:cs="Arial"/>
          <w:spacing w:val="-2"/>
        </w:rPr>
        <w:t xml:space="preserve"> </w:t>
      </w:r>
      <w:r w:rsidRPr="00940517">
        <w:rPr>
          <w:rFonts w:eastAsia="Arial" w:cs="Arial"/>
          <w:spacing w:val="1"/>
        </w:rPr>
        <w:t>e</w:t>
      </w:r>
      <w:r w:rsidRPr="00940517">
        <w:rPr>
          <w:rFonts w:eastAsia="Arial" w:cs="Arial"/>
        </w:rPr>
        <w:t>l</w:t>
      </w:r>
      <w:r w:rsidRPr="00940517">
        <w:rPr>
          <w:rFonts w:eastAsia="Arial" w:cs="Arial"/>
          <w:spacing w:val="-1"/>
        </w:rPr>
        <w:t>ig</w:t>
      </w:r>
      <w:r w:rsidRPr="00940517">
        <w:rPr>
          <w:rFonts w:eastAsia="Arial" w:cs="Arial"/>
        </w:rPr>
        <w:t xml:space="preserve">ible </w:t>
      </w:r>
      <w:r w:rsidRPr="00940517">
        <w:rPr>
          <w:rFonts w:eastAsia="Arial" w:cs="Arial"/>
          <w:spacing w:val="3"/>
        </w:rPr>
        <w:t>f</w:t>
      </w:r>
      <w:r w:rsidRPr="00940517">
        <w:rPr>
          <w:rFonts w:eastAsia="Arial" w:cs="Arial"/>
          <w:spacing w:val="-1"/>
        </w:rPr>
        <w:t>o</w:t>
      </w:r>
      <w:r w:rsidRPr="00940517">
        <w:rPr>
          <w:rFonts w:eastAsia="Arial" w:cs="Arial"/>
        </w:rPr>
        <w:t xml:space="preserve">r differentiated assistance </w:t>
      </w:r>
      <w:r w:rsidR="00B16DD8" w:rsidRPr="00940517">
        <w:rPr>
          <w:rFonts w:eastAsia="Arial" w:cs="Arial"/>
        </w:rPr>
        <w:t xml:space="preserve">(DA) </w:t>
      </w:r>
      <w:r w:rsidRPr="00940517">
        <w:rPr>
          <w:rFonts w:eastAsia="Arial" w:cs="Arial"/>
        </w:rPr>
        <w:t xml:space="preserve">based on their performance on the Dashboard. </w:t>
      </w:r>
      <w:r w:rsidR="00B16DD8" w:rsidRPr="00940517">
        <w:rPr>
          <w:rFonts w:eastAsia="Arial" w:cs="Arial"/>
        </w:rPr>
        <w:t>T</w:t>
      </w:r>
      <w:r w:rsidR="3D861AFB" w:rsidRPr="00940517">
        <w:rPr>
          <w:rFonts w:ascii="Helvetica" w:eastAsia="Helvetica" w:hAnsi="Helvetica" w:cs="Helvetica"/>
          <w:color w:val="000000" w:themeColor="text1"/>
        </w:rPr>
        <w:t xml:space="preserve">he </w:t>
      </w:r>
      <w:r w:rsidR="00B16DD8" w:rsidRPr="00940517">
        <w:rPr>
          <w:rFonts w:ascii="Helvetica" w:eastAsia="Helvetica" w:hAnsi="Helvetica" w:cs="Helvetica"/>
          <w:color w:val="000000" w:themeColor="text1"/>
        </w:rPr>
        <w:t xml:space="preserve">last time LEAs were determined </w:t>
      </w:r>
      <w:r w:rsidR="3D861AFB" w:rsidRPr="00940517">
        <w:rPr>
          <w:rFonts w:ascii="Helvetica" w:eastAsia="Helvetica" w:hAnsi="Helvetica" w:cs="Helvetica"/>
          <w:color w:val="000000" w:themeColor="text1"/>
        </w:rPr>
        <w:t xml:space="preserve">eligible for differentiated assistance </w:t>
      </w:r>
      <w:r w:rsidR="00B16DD8" w:rsidRPr="00940517">
        <w:rPr>
          <w:rFonts w:ascii="Helvetica" w:eastAsia="Helvetica" w:hAnsi="Helvetica" w:cs="Helvetica"/>
          <w:color w:val="000000" w:themeColor="text1"/>
        </w:rPr>
        <w:t>was based on results from the 2019 Dashboard.</w:t>
      </w:r>
      <w:r w:rsidR="3D861AFB" w:rsidRPr="00940517">
        <w:rPr>
          <w:rFonts w:ascii="Helvetica" w:eastAsia="Helvetica" w:hAnsi="Helvetica" w:cs="Helvetica"/>
          <w:color w:val="000000" w:themeColor="text1"/>
        </w:rPr>
        <w:t xml:space="preserve"> </w:t>
      </w:r>
      <w:r w:rsidR="1B5034E2" w:rsidRPr="00940517">
        <w:rPr>
          <w:rFonts w:ascii="Helvetica" w:eastAsia="Helvetica" w:hAnsi="Helvetica" w:cs="Helvetica"/>
          <w:color w:val="000000" w:themeColor="text1"/>
        </w:rPr>
        <w:t xml:space="preserve">Due to the COVID-19 pandemic, </w:t>
      </w:r>
      <w:r w:rsidR="416F817F" w:rsidRPr="00940517">
        <w:rPr>
          <w:rFonts w:ascii="Helvetica" w:eastAsia="Helvetica" w:hAnsi="Helvetica" w:cs="Helvetica"/>
          <w:color w:val="000000" w:themeColor="text1"/>
        </w:rPr>
        <w:t xml:space="preserve">LEAs that were determined eligible for based on the 2019 Dashboard </w:t>
      </w:r>
      <w:r w:rsidR="00B16DD8" w:rsidRPr="00940517">
        <w:rPr>
          <w:rFonts w:ascii="Helvetica" w:eastAsia="Helvetica" w:hAnsi="Helvetica" w:cs="Helvetica"/>
          <w:color w:val="000000" w:themeColor="text1"/>
        </w:rPr>
        <w:t xml:space="preserve">have </w:t>
      </w:r>
      <w:r w:rsidR="6EEB0D22" w:rsidRPr="00940517">
        <w:rPr>
          <w:rFonts w:ascii="Helvetica" w:eastAsia="Helvetica" w:hAnsi="Helvetica" w:cs="Helvetica"/>
          <w:color w:val="000000" w:themeColor="text1"/>
        </w:rPr>
        <w:t xml:space="preserve">remained in DA </w:t>
      </w:r>
      <w:r w:rsidR="21ABD0FE" w:rsidRPr="00940517">
        <w:rPr>
          <w:rFonts w:ascii="Helvetica" w:eastAsia="Helvetica" w:hAnsi="Helvetica" w:cs="Helvetica"/>
          <w:color w:val="000000" w:themeColor="text1"/>
        </w:rPr>
        <w:t>du</w:t>
      </w:r>
      <w:r w:rsidR="6EEB0D22" w:rsidRPr="00940517">
        <w:rPr>
          <w:rFonts w:ascii="Helvetica" w:eastAsia="Helvetica" w:hAnsi="Helvetica" w:cs="Helvetica"/>
          <w:color w:val="000000" w:themeColor="text1"/>
        </w:rPr>
        <w:t>e</w:t>
      </w:r>
      <w:r w:rsidR="21ABD0FE" w:rsidRPr="00940517">
        <w:rPr>
          <w:rFonts w:ascii="Helvetica" w:eastAsia="Helvetica" w:hAnsi="Helvetica" w:cs="Helvetica"/>
          <w:color w:val="000000" w:themeColor="text1"/>
        </w:rPr>
        <w:t xml:space="preserve"> to the lack of state indicators on the 2020 and 2021 Dashboards.</w:t>
      </w:r>
      <w:r w:rsidR="5D9D7D87" w:rsidRPr="00940517">
        <w:rPr>
          <w:rFonts w:ascii="Helvetica" w:eastAsia="Helvetica" w:hAnsi="Helvetica" w:cs="Helvetica"/>
          <w:color w:val="000000" w:themeColor="text1"/>
        </w:rPr>
        <w:t xml:space="preserve"> </w:t>
      </w:r>
    </w:p>
    <w:p w14:paraId="56CD1B2C" w14:textId="6A26FDD2" w:rsidR="0F93D1D5" w:rsidRPr="00940517" w:rsidRDefault="00B16DD8" w:rsidP="0182D7D6">
      <w:pPr>
        <w:spacing w:after="240"/>
      </w:pPr>
      <w:r w:rsidRPr="00940517">
        <w:rPr>
          <w:rFonts w:eastAsia="Arial" w:cs="Arial"/>
        </w:rPr>
        <w:lastRenderedPageBreak/>
        <w:t xml:space="preserve">AB 130 requires the restart of DA eligibility based on </w:t>
      </w:r>
      <w:r w:rsidR="0F93D1D5" w:rsidRPr="00940517">
        <w:rPr>
          <w:rFonts w:eastAsia="Arial" w:cs="Arial"/>
        </w:rPr>
        <w:t xml:space="preserve">data from the 2022 Dashboard. </w:t>
      </w:r>
      <w:r w:rsidR="54BF45FA" w:rsidRPr="00940517">
        <w:rPr>
          <w:rFonts w:eastAsia="Arial" w:cs="Arial"/>
        </w:rPr>
        <w:t>Additionally, p</w:t>
      </w:r>
      <w:r w:rsidR="407F7FB2" w:rsidRPr="00940517">
        <w:rPr>
          <w:rFonts w:ascii="Helvetica" w:eastAsia="Helvetica" w:hAnsi="Helvetica" w:cs="Helvetica"/>
          <w:color w:val="000000" w:themeColor="text1"/>
        </w:rPr>
        <w:t xml:space="preserve">er AB 130, prior year </w:t>
      </w:r>
      <w:r w:rsidR="6D6905B4" w:rsidRPr="00940517">
        <w:rPr>
          <w:rFonts w:ascii="Helvetica" w:eastAsia="Helvetica" w:hAnsi="Helvetica" w:cs="Helvetica"/>
          <w:color w:val="000000" w:themeColor="text1"/>
        </w:rPr>
        <w:t>Dashboard data (i.e., 2018, 2019, 2022</w:t>
      </w:r>
      <w:r w:rsidR="3E3949CE" w:rsidRPr="00940517">
        <w:rPr>
          <w:rFonts w:ascii="Helvetica" w:eastAsia="Helvetica" w:hAnsi="Helvetica" w:cs="Helvetica"/>
          <w:color w:val="000000" w:themeColor="text1"/>
        </w:rPr>
        <w:t>)</w:t>
      </w:r>
      <w:r w:rsidR="407F7FB2" w:rsidRPr="00940517">
        <w:rPr>
          <w:rFonts w:ascii="Helvetica" w:eastAsia="Helvetica" w:hAnsi="Helvetica" w:cs="Helvetica"/>
          <w:color w:val="000000" w:themeColor="text1"/>
        </w:rPr>
        <w:t xml:space="preserve"> will be used to determine those LEAs eligible for </w:t>
      </w:r>
      <w:r w:rsidR="67DC9041" w:rsidRPr="00940517">
        <w:rPr>
          <w:rFonts w:ascii="Helvetica" w:eastAsia="Helvetica" w:hAnsi="Helvetica" w:cs="Helvetica"/>
          <w:color w:val="000000" w:themeColor="text1"/>
        </w:rPr>
        <w:t>level 3 support</w:t>
      </w:r>
      <w:r w:rsidR="5F6B0957" w:rsidRPr="00940517">
        <w:rPr>
          <w:rFonts w:eastAsia="Arial" w:cs="Arial"/>
        </w:rPr>
        <w:t>.</w:t>
      </w:r>
      <w:r w:rsidR="4B067696" w:rsidRPr="00940517">
        <w:rPr>
          <w:rFonts w:eastAsia="Arial" w:cs="Arial"/>
        </w:rPr>
        <w:t xml:space="preserve"> Moving forward, t</w:t>
      </w:r>
      <w:r w:rsidR="0F93D1D5" w:rsidRPr="00940517">
        <w:rPr>
          <w:rFonts w:eastAsia="Arial" w:cs="Arial"/>
        </w:rPr>
        <w:t xml:space="preserve">he CDE will work closely the SBE and various </w:t>
      </w:r>
      <w:r w:rsidRPr="00940517">
        <w:rPr>
          <w:rFonts w:eastAsia="Arial" w:cs="Arial"/>
        </w:rPr>
        <w:t xml:space="preserve">educational partners </w:t>
      </w:r>
      <w:r w:rsidR="0F93D1D5" w:rsidRPr="00940517">
        <w:rPr>
          <w:rFonts w:eastAsia="Arial" w:cs="Arial"/>
        </w:rPr>
        <w:t>to determine</w:t>
      </w:r>
      <w:r w:rsidRPr="00940517">
        <w:rPr>
          <w:rFonts w:eastAsia="Arial" w:cs="Arial"/>
        </w:rPr>
        <w:t>, if needed,</w:t>
      </w:r>
      <w:r w:rsidR="0F93D1D5" w:rsidRPr="00940517">
        <w:rPr>
          <w:rFonts w:eastAsia="Arial" w:cs="Arial"/>
        </w:rPr>
        <w:t xml:space="preserve"> modifications to the differentiated assistance criteria.</w:t>
      </w:r>
    </w:p>
    <w:p w14:paraId="131AA195" w14:textId="77777777" w:rsidR="00595D1F" w:rsidRPr="00940517" w:rsidRDefault="00595D1F" w:rsidP="00E036FD">
      <w:pPr>
        <w:pStyle w:val="Heading3"/>
      </w:pPr>
      <w:r w:rsidRPr="00940517">
        <w:t>2023 Dashboard and Beyond</w:t>
      </w:r>
    </w:p>
    <w:p w14:paraId="7533975F" w14:textId="531FE3AD" w:rsidR="00595D1F" w:rsidRPr="00940517" w:rsidRDefault="00595D1F" w:rsidP="00595D1F">
      <w:pPr>
        <w:rPr>
          <w:rFonts w:cs="Arial"/>
        </w:rPr>
      </w:pPr>
      <w:r w:rsidRPr="00940517">
        <w:rPr>
          <w:rFonts w:cs="Arial"/>
        </w:rPr>
        <w:t xml:space="preserve">While it is difficult to predict future reporting due to continuation of the pandemic, the CDE anticipates reporting Status, Change, and performance colors for all the state indicators, except for the CCI, in the 2023 Dashboard. We also anticipate reporting Status only for the CCI in the 2023 Dashboard, and reporting Status, Change and performance colors for the CCI beginning with the 2024 Dashboard. </w:t>
      </w:r>
      <w:r w:rsidR="00032798" w:rsidRPr="00940517">
        <w:rPr>
          <w:rFonts w:cs="Arial"/>
        </w:rPr>
        <w:t>The following are other metrics that the CDE is actively monitoring for potential inclusion in future Dashboards.</w:t>
      </w:r>
    </w:p>
    <w:p w14:paraId="7FAF40E0" w14:textId="1022C6A2" w:rsidR="00D10A9E" w:rsidRPr="00940517" w:rsidRDefault="00D10A9E" w:rsidP="00DC684D">
      <w:pPr>
        <w:pStyle w:val="Heading4"/>
      </w:pPr>
      <w:r w:rsidRPr="00940517">
        <w:t>California Science Test</w:t>
      </w:r>
    </w:p>
    <w:p w14:paraId="05C8B838" w14:textId="77777777" w:rsidR="00D10A9E" w:rsidRPr="00940517" w:rsidRDefault="00D10A9E" w:rsidP="00D10A9E">
      <w:pPr>
        <w:rPr>
          <w:rFonts w:cs="Arial"/>
        </w:rPr>
      </w:pPr>
      <w:r w:rsidRPr="00940517">
        <w:rPr>
          <w:rFonts w:eastAsiaTheme="majorEastAsia" w:cs="Arial"/>
        </w:rPr>
        <w:t xml:space="preserve">In 2018–19, the first operational California Science Test (CAST) was administered to students in grades five and eight and once in high school (i.e., grade ten, eleven, or twelve). In 2019–20, a limited number of students completed the CAST prior to the Governor’s Executive Order to suspend the administration of the </w:t>
      </w:r>
      <w:r w:rsidRPr="00940517">
        <w:rPr>
          <w:rFonts w:cs="Arial"/>
        </w:rPr>
        <w:t>California Assessment of Student Performance and Progress (CAASPP) due to</w:t>
      </w:r>
      <w:r w:rsidRPr="00940517">
        <w:rPr>
          <w:rFonts w:eastAsiaTheme="majorEastAsia" w:cs="Arial"/>
        </w:rPr>
        <w:t xml:space="preserve"> the COVID-19 pandemic. In 2020–21, the</w:t>
      </w:r>
      <w:r w:rsidRPr="00940517">
        <w:rPr>
          <w:rFonts w:cs="Arial"/>
        </w:rPr>
        <w:t xml:space="preserve"> administration of the CAST resulted in 16.4 percent of eligible students taking the test and 35 percent of eligible students taking the California Alternate Assessment for Science. </w:t>
      </w:r>
    </w:p>
    <w:p w14:paraId="00500062" w14:textId="77777777" w:rsidR="00D10A9E" w:rsidRPr="00940517" w:rsidRDefault="00D10A9E" w:rsidP="00D10A9E">
      <w:pPr>
        <w:rPr>
          <w:rFonts w:cs="Arial"/>
        </w:rPr>
      </w:pPr>
    </w:p>
    <w:p w14:paraId="585BEB33" w14:textId="36BCF201" w:rsidR="00EE231E" w:rsidRPr="00940517" w:rsidRDefault="00D10A9E" w:rsidP="00835BC5">
      <w:pPr>
        <w:spacing w:after="240"/>
      </w:pPr>
      <w:r w:rsidRPr="00940517">
        <w:t>This year, the 2021–22 administration of the CAST is based on a revised blueprint that the SBE approved in January 2020. With the revised blueprint in place, students will receive a shortened-test, which will contain fewer test questions and at least three Performance Tasks, one from each science domain (i.e., Earth and Space Sciences, Life Sciences, and Physical Science). Each Performance Task will have at least one constructed-response item</w:t>
      </w:r>
      <w:r w:rsidR="00353A7A" w:rsidRPr="00940517">
        <w:t xml:space="preserve">, which was not a requirement under the former blueprint that was administered in the last three years (i.e., </w:t>
      </w:r>
      <w:r w:rsidR="00353A7A" w:rsidRPr="00940517">
        <w:rPr>
          <w:rFonts w:eastAsiaTheme="majorEastAsia" w:cs="Arial"/>
        </w:rPr>
        <w:t>2018–19, 2019–20, and 2020–21).</w:t>
      </w:r>
      <w:r w:rsidRPr="00940517">
        <w:t xml:space="preserve"> If no other changes to the CAST blueprint are made in the future, the 2021–22 administration may be the first data point that could potentially be used for accountability purposes.</w:t>
      </w:r>
    </w:p>
    <w:p w14:paraId="182B6062" w14:textId="247FC703" w:rsidR="00D10A9E" w:rsidRPr="00940517" w:rsidRDefault="00D10A9E" w:rsidP="00835BC5">
      <w:pPr>
        <w:spacing w:after="240"/>
      </w:pPr>
      <w:r w:rsidRPr="00940517">
        <w:t>However, prior to incorporating this test in the Dashboard and making any accountability judgements, the CDE must consider the following factors:</w:t>
      </w:r>
    </w:p>
    <w:p w14:paraId="75B94689" w14:textId="48F2E9B6" w:rsidR="002F1429" w:rsidRPr="00940517" w:rsidRDefault="00353A7A" w:rsidP="00353A7A">
      <w:pPr>
        <w:pStyle w:val="ListParagraph"/>
        <w:numPr>
          <w:ilvl w:val="0"/>
          <w:numId w:val="22"/>
        </w:numPr>
        <w:spacing w:after="240"/>
        <w:rPr>
          <w:rFonts w:eastAsiaTheme="majorEastAsia" w:cs="Arial"/>
        </w:rPr>
      </w:pPr>
      <w:r w:rsidRPr="00940517">
        <w:rPr>
          <w:rFonts w:cs="Arial"/>
        </w:rPr>
        <w:t xml:space="preserve">The lasting impacts of COVID-19 on student learning and continued shifts in pedagogy has created a break in the momentum of </w:t>
      </w:r>
      <w:r w:rsidRPr="00940517">
        <w:t xml:space="preserve">implementing the </w:t>
      </w:r>
      <w:r w:rsidRPr="00940517">
        <w:rPr>
          <w:rFonts w:eastAsiaTheme="majorEastAsia" w:cs="Arial"/>
        </w:rPr>
        <w:t>science instructional materials, which were</w:t>
      </w:r>
      <w:r w:rsidRPr="00940517">
        <w:rPr>
          <w:rFonts w:cs="Arial"/>
        </w:rPr>
        <w:t xml:space="preserve"> adopted by the SBE in November 2018. Because of this, full implementation of the California Next Generation Science Standards (CA NGSS) has not yet occurred across the state. In fact, </w:t>
      </w:r>
      <w:r w:rsidRPr="00940517">
        <w:rPr>
          <w:rFonts w:eastAsiaTheme="majorEastAsia" w:cs="Arial"/>
        </w:rPr>
        <w:t xml:space="preserve">the NGSS </w:t>
      </w:r>
      <w:r w:rsidRPr="00940517">
        <w:rPr>
          <w:rFonts w:eastAsiaTheme="majorEastAsia" w:cs="Arial"/>
        </w:rPr>
        <w:lastRenderedPageBreak/>
        <w:t xml:space="preserve">Collaborative </w:t>
      </w:r>
      <w:r w:rsidRPr="00940517">
        <w:rPr>
          <w:rFonts w:ascii="Helvetica" w:hAnsi="Helvetica" w:cs="Helvetica"/>
          <w:color w:val="000000"/>
          <w:shd w:val="clear" w:color="auto" w:fill="FFFFFF"/>
        </w:rPr>
        <w:t xml:space="preserve">is still continuing their rollout of </w:t>
      </w:r>
      <w:r w:rsidRPr="00940517">
        <w:rPr>
          <w:rFonts w:eastAsiaTheme="majorEastAsia" w:cs="Arial"/>
        </w:rPr>
        <w:t xml:space="preserve">professional learning workshops (known as CA NGSS Rollout Symposia) to support teachers, principals, and other school leaders. </w:t>
      </w:r>
      <w:r w:rsidR="00D54FCB" w:rsidRPr="00940517">
        <w:t xml:space="preserve">Due to the gap in implementation and the changes to the blueprint, the CDE believes that the baseline year to begin </w:t>
      </w:r>
      <w:r w:rsidR="009B6FA7" w:rsidRPr="00940517">
        <w:t xml:space="preserve">using this data for the setting of cut scores for </w:t>
      </w:r>
      <w:r w:rsidR="00D54FCB" w:rsidRPr="00940517">
        <w:t>the implementation of the high stakes accountability for science should be no earlier than the 2021–22 administration.</w:t>
      </w:r>
    </w:p>
    <w:p w14:paraId="261045E2" w14:textId="63C21692" w:rsidR="00D10A9E" w:rsidRPr="00940517" w:rsidRDefault="00D10A9E" w:rsidP="00DD0AA6">
      <w:pPr>
        <w:pStyle w:val="ListParagraph"/>
        <w:numPr>
          <w:ilvl w:val="0"/>
          <w:numId w:val="22"/>
        </w:numPr>
        <w:spacing w:after="240"/>
        <w:rPr>
          <w:rFonts w:cs="Arial"/>
        </w:rPr>
      </w:pPr>
      <w:r w:rsidRPr="00940517">
        <w:rPr>
          <w:rStyle w:val="normaltextrun"/>
          <w:rFonts w:cs="Arial"/>
        </w:rPr>
        <w:t xml:space="preserve">To determine Status and Change cut scores for state indicators, two years of data are used </w:t>
      </w:r>
      <w:r w:rsidR="00BD7C54" w:rsidRPr="00940517">
        <w:rPr>
          <w:rStyle w:val="normaltextrun"/>
          <w:rFonts w:cs="Arial"/>
        </w:rPr>
        <w:t xml:space="preserve">to ensure that </w:t>
      </w:r>
      <w:r w:rsidR="00BA4B45" w:rsidRPr="00940517">
        <w:rPr>
          <w:rStyle w:val="normaltextrun"/>
          <w:rFonts w:cs="Arial"/>
        </w:rPr>
        <w:t>the cuts are</w:t>
      </w:r>
      <w:r w:rsidR="00BD7C54" w:rsidRPr="00940517">
        <w:rPr>
          <w:rStyle w:val="normaltextrun"/>
          <w:rFonts w:cs="Arial"/>
        </w:rPr>
        <w:t xml:space="preserve"> established based on smooth trends in data</w:t>
      </w:r>
      <w:r w:rsidR="00BA4B45" w:rsidRPr="00940517">
        <w:rPr>
          <w:rStyle w:val="normaltextrun"/>
          <w:rFonts w:cs="Arial"/>
        </w:rPr>
        <w:t xml:space="preserve">. Having these data patterns help inform whether the cut scores will remain stable over multiple years. </w:t>
      </w:r>
      <w:r w:rsidRPr="00940517">
        <w:rPr>
          <w:rStyle w:val="normaltextrun"/>
          <w:rFonts w:cs="Arial"/>
        </w:rPr>
        <w:t>The results used to set the cut scores are based on full statewide population of students (and not a small portion) to ensure that the standards are fairly set</w:t>
      </w:r>
      <w:r w:rsidRPr="00940517">
        <w:rPr>
          <w:rFonts w:eastAsiaTheme="majorEastAsia" w:cs="Arial"/>
        </w:rPr>
        <w:t>. Given the low participation rate of the CAST in 2020–21, along with the continued uncertainty of the COVID-19 pandemic, it remains to be seen if test participation will increase for the 2021–22 administration so that it can potentially be used as the first data point.</w:t>
      </w:r>
    </w:p>
    <w:p w14:paraId="47BD7D3F" w14:textId="580A672C" w:rsidR="00D10A9E" w:rsidRPr="00940517" w:rsidRDefault="00D10A9E" w:rsidP="00DD0AA6">
      <w:pPr>
        <w:pStyle w:val="ListParagraph"/>
        <w:numPr>
          <w:ilvl w:val="0"/>
          <w:numId w:val="22"/>
        </w:numPr>
        <w:spacing w:after="240"/>
        <w:rPr>
          <w:rFonts w:cs="Arial"/>
        </w:rPr>
      </w:pPr>
      <w:r w:rsidRPr="00940517">
        <w:rPr>
          <w:rFonts w:eastAsiaTheme="majorEastAsia" w:cs="Arial"/>
        </w:rPr>
        <w:t>Prior to including the CAST into the Dashboard</w:t>
      </w:r>
      <w:r w:rsidR="00AE55CA" w:rsidRPr="00940517">
        <w:rPr>
          <w:rFonts w:eastAsiaTheme="majorEastAsia" w:cs="Arial"/>
        </w:rPr>
        <w:t xml:space="preserve">, which is </w:t>
      </w:r>
      <w:r w:rsidR="009B6FA7" w:rsidRPr="00940517">
        <w:rPr>
          <w:rFonts w:eastAsiaTheme="majorEastAsia" w:cs="Arial"/>
        </w:rPr>
        <w:t>California’s</w:t>
      </w:r>
      <w:r w:rsidR="00AE55CA" w:rsidRPr="00940517">
        <w:rPr>
          <w:rFonts w:eastAsiaTheme="majorEastAsia" w:cs="Arial"/>
        </w:rPr>
        <w:t xml:space="preserve"> high-stakes accountability tool</w:t>
      </w:r>
      <w:r w:rsidRPr="00940517">
        <w:rPr>
          <w:rFonts w:eastAsiaTheme="majorEastAsia" w:cs="Arial"/>
        </w:rPr>
        <w:t xml:space="preserve">, the CDE will need to </w:t>
      </w:r>
      <w:r w:rsidR="009B6FA7" w:rsidRPr="00940517">
        <w:rPr>
          <w:rFonts w:eastAsiaTheme="majorEastAsia" w:cs="Arial"/>
        </w:rPr>
        <w:t>discuss</w:t>
      </w:r>
      <w:r w:rsidRPr="00940517">
        <w:rPr>
          <w:rFonts w:eastAsiaTheme="majorEastAsia" w:cs="Arial"/>
        </w:rPr>
        <w:t xml:space="preserve"> with the ED the inclusion of this new state indicator in California’s ESSA Consolidated State Plan. ED’s approval of the accountability system is contingent on maintaining a balance between academic and non-academic indicators. It is important to verify with </w:t>
      </w:r>
      <w:r w:rsidR="00D327B0" w:rsidRPr="00940517">
        <w:rPr>
          <w:rFonts w:eastAsiaTheme="majorEastAsia" w:cs="Arial"/>
        </w:rPr>
        <w:t xml:space="preserve">the </w:t>
      </w:r>
      <w:r w:rsidRPr="00940517">
        <w:rPr>
          <w:rFonts w:eastAsiaTheme="majorEastAsia" w:cs="Arial"/>
        </w:rPr>
        <w:t>ED that the inclusion of CAST will not generate an imbalance of indicators.</w:t>
      </w:r>
    </w:p>
    <w:p w14:paraId="3AD554B2" w14:textId="3C4F27BE" w:rsidR="00D10A9E" w:rsidRPr="00940517" w:rsidRDefault="00D10A9E" w:rsidP="00D10A9E">
      <w:pPr>
        <w:rPr>
          <w:rFonts w:cs="Arial"/>
        </w:rPr>
      </w:pPr>
      <w:r w:rsidRPr="00940517">
        <w:rPr>
          <w:rFonts w:cs="Arial"/>
        </w:rPr>
        <w:t xml:space="preserve">Because of the difficulty to predict the participation rates of the CAST, the CDE will continue to </w:t>
      </w:r>
      <w:r w:rsidRPr="00940517">
        <w:rPr>
          <w:rFonts w:eastAsiaTheme="majorEastAsia" w:cs="Arial"/>
        </w:rPr>
        <w:t xml:space="preserve">carefully assess </w:t>
      </w:r>
      <w:r w:rsidRPr="00940517">
        <w:rPr>
          <w:rFonts w:cs="Arial"/>
        </w:rPr>
        <w:t>when this test may be used for accountability and will continue to apprise the SBE of this work.</w:t>
      </w:r>
    </w:p>
    <w:p w14:paraId="1245C9E7" w14:textId="7ECFBE32" w:rsidR="00331B2D" w:rsidRPr="00940517" w:rsidRDefault="00331B2D" w:rsidP="00315BEC">
      <w:pPr>
        <w:pStyle w:val="Heading4"/>
      </w:pPr>
      <w:r w:rsidRPr="00940517">
        <w:t>Student-Level Growth Model</w:t>
      </w:r>
    </w:p>
    <w:p w14:paraId="3B83BC66" w14:textId="5A39DC91" w:rsidR="1EC761C3" w:rsidRPr="00940517" w:rsidRDefault="1EC761C3" w:rsidP="004132C6">
      <w:pPr>
        <w:spacing w:after="240"/>
        <w:rPr>
          <w:rFonts w:eastAsia="Arial" w:cs="Arial"/>
          <w:color w:val="000000" w:themeColor="text1"/>
        </w:rPr>
      </w:pPr>
      <w:r w:rsidRPr="00940517">
        <w:rPr>
          <w:rFonts w:eastAsia="Arial" w:cs="Arial"/>
        </w:rPr>
        <w:t>The SBE approved a student growth model</w:t>
      </w:r>
      <w:r w:rsidR="5F7DB555" w:rsidRPr="00940517">
        <w:rPr>
          <w:rFonts w:eastAsia="Arial" w:cs="Arial"/>
        </w:rPr>
        <w:t xml:space="preserve"> methodology</w:t>
      </w:r>
      <w:r w:rsidRPr="00940517">
        <w:rPr>
          <w:rFonts w:eastAsia="Arial" w:cs="Arial"/>
        </w:rPr>
        <w:t xml:space="preserve"> in May 2021 to measure </w:t>
      </w:r>
      <w:r w:rsidR="6BBF7F9D" w:rsidRPr="00940517">
        <w:rPr>
          <w:rFonts w:eastAsia="Arial" w:cs="Arial"/>
        </w:rPr>
        <w:t>the</w:t>
      </w:r>
      <w:r w:rsidR="5DC18340" w:rsidRPr="00940517">
        <w:rPr>
          <w:rFonts w:eastAsia="Arial" w:cs="Arial"/>
        </w:rPr>
        <w:t xml:space="preserve"> </w:t>
      </w:r>
      <w:r w:rsidR="42FD8A79" w:rsidRPr="00940517">
        <w:rPr>
          <w:rFonts w:eastAsia="Arial" w:cs="Arial"/>
        </w:rPr>
        <w:t xml:space="preserve">academic </w:t>
      </w:r>
      <w:r w:rsidR="62CA7914" w:rsidRPr="00940517">
        <w:rPr>
          <w:rFonts w:eastAsia="Arial" w:cs="Arial"/>
        </w:rPr>
        <w:t xml:space="preserve">growth </w:t>
      </w:r>
      <w:r w:rsidR="65601997" w:rsidRPr="00940517">
        <w:rPr>
          <w:rFonts w:eastAsia="Arial" w:cs="Arial"/>
        </w:rPr>
        <w:t xml:space="preserve">for </w:t>
      </w:r>
      <w:r w:rsidR="005B55AB" w:rsidRPr="00940517">
        <w:rPr>
          <w:rFonts w:eastAsia="Arial" w:cs="Arial"/>
        </w:rPr>
        <w:t>students in grade four</w:t>
      </w:r>
      <w:r w:rsidR="65601997" w:rsidRPr="00940517">
        <w:rPr>
          <w:rFonts w:eastAsia="Arial" w:cs="Arial"/>
        </w:rPr>
        <w:t xml:space="preserve"> through </w:t>
      </w:r>
      <w:r w:rsidR="005B55AB" w:rsidRPr="00940517">
        <w:rPr>
          <w:rFonts w:eastAsia="Arial" w:cs="Arial"/>
        </w:rPr>
        <w:t>eight.</w:t>
      </w:r>
      <w:r w:rsidR="27429E2B" w:rsidRPr="00940517">
        <w:rPr>
          <w:rFonts w:eastAsia="Arial" w:cs="Arial"/>
        </w:rPr>
        <w:t xml:space="preserve"> </w:t>
      </w:r>
      <w:r w:rsidR="13AEA2A1" w:rsidRPr="00940517">
        <w:rPr>
          <w:rFonts w:eastAsia="Arial" w:cs="Arial"/>
        </w:rPr>
        <w:t>Th</w:t>
      </w:r>
      <w:r w:rsidR="02D38DFD" w:rsidRPr="00940517">
        <w:rPr>
          <w:rFonts w:eastAsia="Arial" w:cs="Arial"/>
        </w:rPr>
        <w:t>e methodology</w:t>
      </w:r>
      <w:r w:rsidR="1AEF3B84" w:rsidRPr="00940517">
        <w:rPr>
          <w:rFonts w:eastAsia="Arial" w:cs="Arial"/>
        </w:rPr>
        <w:t xml:space="preserve"> for these aggregated </w:t>
      </w:r>
      <w:r w:rsidR="6C94965B" w:rsidRPr="00940517">
        <w:rPr>
          <w:rFonts w:eastAsia="Arial" w:cs="Arial"/>
        </w:rPr>
        <w:t xml:space="preserve">growth </w:t>
      </w:r>
      <w:r w:rsidR="1AEF3B84" w:rsidRPr="00940517">
        <w:rPr>
          <w:rFonts w:eastAsia="Arial" w:cs="Arial"/>
        </w:rPr>
        <w:t xml:space="preserve">scores </w:t>
      </w:r>
      <w:r w:rsidR="7769CAE1" w:rsidRPr="00940517">
        <w:rPr>
          <w:rFonts w:eastAsia="Arial" w:cs="Arial"/>
          <w:color w:val="000000" w:themeColor="text1"/>
        </w:rPr>
        <w:t>requires</w:t>
      </w:r>
      <w:r w:rsidR="30CAFB33" w:rsidRPr="00940517">
        <w:rPr>
          <w:rFonts w:eastAsia="Arial" w:cs="Arial"/>
          <w:color w:val="000000" w:themeColor="text1"/>
        </w:rPr>
        <w:t xml:space="preserve"> assessment results from three consecutive years of Smarter Balanced Assessments in ELA and Mathematics</w:t>
      </w:r>
      <w:r w:rsidR="71E94AF6" w:rsidRPr="00940517">
        <w:rPr>
          <w:rFonts w:eastAsia="Arial" w:cs="Arial"/>
          <w:color w:val="000000" w:themeColor="text1"/>
        </w:rPr>
        <w:t xml:space="preserve">. </w:t>
      </w:r>
      <w:r w:rsidR="7FAE1956" w:rsidRPr="00940517">
        <w:rPr>
          <w:rFonts w:eastAsia="Arial" w:cs="Arial"/>
          <w:color w:val="000000" w:themeColor="text1"/>
        </w:rPr>
        <w:t xml:space="preserve">With the resumption of </w:t>
      </w:r>
      <w:r w:rsidR="58AA4D7F" w:rsidRPr="00940517">
        <w:rPr>
          <w:rFonts w:eastAsia="Arial" w:cs="Arial"/>
          <w:color w:val="000000" w:themeColor="text1"/>
        </w:rPr>
        <w:t>statewide Smarter Balanced testing in Spring 2022, CDE anticipates that the next set of aggregated student growth data will be</w:t>
      </w:r>
      <w:r w:rsidR="1BC45242" w:rsidRPr="00940517">
        <w:rPr>
          <w:rFonts w:eastAsia="Arial" w:cs="Arial"/>
          <w:color w:val="000000" w:themeColor="text1"/>
        </w:rPr>
        <w:t xml:space="preserve"> </w:t>
      </w:r>
      <w:r w:rsidR="58AA4D7F" w:rsidRPr="00940517">
        <w:rPr>
          <w:rFonts w:eastAsia="Arial" w:cs="Arial"/>
          <w:color w:val="000000" w:themeColor="text1"/>
        </w:rPr>
        <w:t>available in late Fall 2024</w:t>
      </w:r>
      <w:r w:rsidR="7234B681" w:rsidRPr="00940517">
        <w:rPr>
          <w:rFonts w:eastAsia="Arial" w:cs="Arial"/>
          <w:color w:val="000000" w:themeColor="text1"/>
        </w:rPr>
        <w:t xml:space="preserve">. </w:t>
      </w:r>
      <w:r w:rsidR="58AA4D7F" w:rsidRPr="00940517">
        <w:rPr>
          <w:rFonts w:eastAsia="Arial" w:cs="Arial"/>
          <w:color w:val="000000" w:themeColor="text1"/>
        </w:rPr>
        <w:t xml:space="preserve">This </w:t>
      </w:r>
      <w:r w:rsidR="06DB8D5F" w:rsidRPr="00940517">
        <w:rPr>
          <w:rFonts w:eastAsia="Arial" w:cs="Arial"/>
          <w:color w:val="000000" w:themeColor="text1"/>
        </w:rPr>
        <w:t xml:space="preserve">set of </w:t>
      </w:r>
      <w:r w:rsidR="58AA4D7F" w:rsidRPr="00940517">
        <w:rPr>
          <w:rFonts w:eastAsia="Arial" w:cs="Arial"/>
          <w:color w:val="000000" w:themeColor="text1"/>
        </w:rPr>
        <w:t xml:space="preserve">growth </w:t>
      </w:r>
      <w:r w:rsidR="7FAE1956" w:rsidRPr="00940517">
        <w:rPr>
          <w:rFonts w:eastAsia="Arial" w:cs="Arial"/>
          <w:color w:val="000000" w:themeColor="text1"/>
        </w:rPr>
        <w:t>data will be based on the 2021–22, 2022–23, 2023–24 Smarter Balanced Assessments administrations.</w:t>
      </w:r>
    </w:p>
    <w:p w14:paraId="77D8FFAC" w14:textId="25EBA0A5" w:rsidR="01107F19" w:rsidRPr="00940517" w:rsidRDefault="01107F19" w:rsidP="004132C6">
      <w:pPr>
        <w:spacing w:after="240"/>
        <w:rPr>
          <w:rFonts w:eastAsia="Arial" w:cs="Arial"/>
          <w:color w:val="000000" w:themeColor="text1"/>
        </w:rPr>
      </w:pPr>
      <w:r w:rsidRPr="00940517">
        <w:rPr>
          <w:rFonts w:eastAsia="Arial" w:cs="Arial"/>
          <w:color w:val="000000" w:themeColor="text1"/>
        </w:rPr>
        <w:t xml:space="preserve">Prior to </w:t>
      </w:r>
      <w:r w:rsidR="4B4F00D5" w:rsidRPr="00940517">
        <w:rPr>
          <w:rFonts w:eastAsia="Arial" w:cs="Arial"/>
          <w:color w:val="000000" w:themeColor="text1"/>
        </w:rPr>
        <w:t xml:space="preserve">the next release of data in </w:t>
      </w:r>
      <w:r w:rsidRPr="00940517">
        <w:rPr>
          <w:rFonts w:eastAsia="Arial" w:cs="Arial"/>
          <w:color w:val="000000" w:themeColor="text1"/>
        </w:rPr>
        <w:t>2024</w:t>
      </w:r>
      <w:r w:rsidR="1A05684E" w:rsidRPr="00940517">
        <w:rPr>
          <w:rFonts w:eastAsia="Arial" w:cs="Arial"/>
          <w:color w:val="000000" w:themeColor="text1"/>
        </w:rPr>
        <w:t xml:space="preserve">, </w:t>
      </w:r>
      <w:r w:rsidR="71E94AF6" w:rsidRPr="00940517">
        <w:rPr>
          <w:rFonts w:eastAsia="Arial" w:cs="Arial"/>
          <w:color w:val="000000" w:themeColor="text1"/>
        </w:rPr>
        <w:t xml:space="preserve">CDE intends to continue </w:t>
      </w:r>
      <w:r w:rsidR="3AB2F5B5" w:rsidRPr="00940517">
        <w:rPr>
          <w:rFonts w:eastAsia="Arial" w:cs="Arial"/>
          <w:color w:val="000000" w:themeColor="text1"/>
        </w:rPr>
        <w:t>to build on the</w:t>
      </w:r>
      <w:r w:rsidR="71E94AF6" w:rsidRPr="00940517">
        <w:rPr>
          <w:rFonts w:eastAsia="Arial" w:cs="Arial"/>
          <w:color w:val="000000" w:themeColor="text1"/>
        </w:rPr>
        <w:t xml:space="preserve"> foundation of understanding </w:t>
      </w:r>
      <w:r w:rsidR="00A584A5" w:rsidRPr="00940517">
        <w:rPr>
          <w:rFonts w:eastAsia="Arial" w:cs="Arial"/>
          <w:color w:val="000000" w:themeColor="text1"/>
        </w:rPr>
        <w:t>established with</w:t>
      </w:r>
      <w:r w:rsidR="71E94AF6" w:rsidRPr="00940517">
        <w:rPr>
          <w:rFonts w:eastAsia="Arial" w:cs="Arial"/>
          <w:color w:val="000000" w:themeColor="text1"/>
        </w:rPr>
        <w:t xml:space="preserve"> the release of the historical student growth data in September 2021. CDE will work with LEAs and the public to develop best practices for communication, data use and data visualization strategies with regards to student growth and the aggregate student growth data </w:t>
      </w:r>
      <w:r w:rsidR="5D1584D3" w:rsidRPr="00940517">
        <w:rPr>
          <w:rFonts w:eastAsia="Arial" w:cs="Arial"/>
          <w:color w:val="000000" w:themeColor="text1"/>
        </w:rPr>
        <w:t>scores</w:t>
      </w:r>
      <w:r w:rsidR="0FD64A49" w:rsidRPr="00940517">
        <w:rPr>
          <w:rFonts w:eastAsia="Arial" w:cs="Arial"/>
          <w:color w:val="000000" w:themeColor="text1"/>
        </w:rPr>
        <w:t>.</w:t>
      </w:r>
      <w:r w:rsidR="0FD64A49" w:rsidRPr="00940517">
        <w:rPr>
          <w:rFonts w:eastAsia="Arial" w:cs="Arial"/>
        </w:rPr>
        <w:t xml:space="preserve"> </w:t>
      </w:r>
      <w:r w:rsidR="26A477E4" w:rsidRPr="00940517">
        <w:rPr>
          <w:rFonts w:eastAsia="Arial" w:cs="Arial"/>
        </w:rPr>
        <w:t xml:space="preserve">Additionally, </w:t>
      </w:r>
      <w:r w:rsidR="26A477E4" w:rsidRPr="00940517">
        <w:rPr>
          <w:rFonts w:eastAsia="Arial" w:cs="Arial"/>
          <w:color w:val="000000" w:themeColor="text1"/>
        </w:rPr>
        <w:t xml:space="preserve">CDE will report on the reliability, validity and comparability of the growth scores as the </w:t>
      </w:r>
      <w:r w:rsidR="26A477E4" w:rsidRPr="00940517">
        <w:rPr>
          <w:rFonts w:eastAsia="Arial" w:cs="Arial"/>
          <w:color w:val="000000" w:themeColor="text1"/>
        </w:rPr>
        <w:lastRenderedPageBreak/>
        <w:t xml:space="preserve">calculations are completed. </w:t>
      </w:r>
      <w:r w:rsidR="1BBA6A05" w:rsidRPr="00940517">
        <w:rPr>
          <w:rFonts w:eastAsia="Arial" w:cs="Arial"/>
          <w:color w:val="000000" w:themeColor="text1"/>
        </w:rPr>
        <w:t xml:space="preserve">At a minimum, </w:t>
      </w:r>
      <w:r w:rsidR="71E94AF6" w:rsidRPr="00940517">
        <w:rPr>
          <w:rFonts w:eastAsia="Arial" w:cs="Arial"/>
          <w:color w:val="000000" w:themeColor="text1"/>
        </w:rPr>
        <w:t xml:space="preserve">CDE will update the SBE </w:t>
      </w:r>
      <w:r w:rsidR="16550787" w:rsidRPr="00940517">
        <w:rPr>
          <w:rFonts w:eastAsia="Arial" w:cs="Arial"/>
          <w:color w:val="000000" w:themeColor="text1"/>
        </w:rPr>
        <w:t xml:space="preserve">and CPAG </w:t>
      </w:r>
      <w:r w:rsidR="71E94AF6" w:rsidRPr="00940517">
        <w:rPr>
          <w:rFonts w:eastAsia="Arial" w:cs="Arial"/>
          <w:color w:val="000000" w:themeColor="text1"/>
        </w:rPr>
        <w:t>annually</w:t>
      </w:r>
      <w:r w:rsidR="2A7E783B" w:rsidRPr="00940517">
        <w:rPr>
          <w:rFonts w:eastAsia="Arial" w:cs="Arial"/>
          <w:color w:val="000000" w:themeColor="text1"/>
        </w:rPr>
        <w:t>,</w:t>
      </w:r>
      <w:r w:rsidR="71E94AF6" w:rsidRPr="00940517">
        <w:rPr>
          <w:rFonts w:eastAsia="Arial" w:cs="Arial"/>
          <w:color w:val="000000" w:themeColor="text1"/>
        </w:rPr>
        <w:t xml:space="preserve"> through 2024, on the progress and status of these additional tasks.</w:t>
      </w:r>
    </w:p>
    <w:p w14:paraId="77000685" w14:textId="5DC0ECAA" w:rsidR="0CAA1BA4" w:rsidRPr="00940517" w:rsidRDefault="0CAA1BA4" w:rsidP="533352BC">
      <w:pPr>
        <w:rPr>
          <w:rFonts w:eastAsia="Arial" w:cs="Arial"/>
          <w:color w:val="000000" w:themeColor="text1"/>
        </w:rPr>
      </w:pPr>
      <w:r w:rsidRPr="00940517">
        <w:rPr>
          <w:rFonts w:eastAsia="Arial" w:cs="Arial"/>
          <w:color w:val="000000" w:themeColor="text1"/>
        </w:rPr>
        <w:t>The SBE has not taken any action as to inclu</w:t>
      </w:r>
      <w:r w:rsidR="38397A7F" w:rsidRPr="00940517">
        <w:rPr>
          <w:rFonts w:eastAsia="Arial" w:cs="Arial"/>
          <w:color w:val="000000" w:themeColor="text1"/>
        </w:rPr>
        <w:t>de</w:t>
      </w:r>
      <w:r w:rsidRPr="00940517">
        <w:rPr>
          <w:rFonts w:eastAsia="Arial" w:cs="Arial"/>
          <w:color w:val="000000" w:themeColor="text1"/>
        </w:rPr>
        <w:t xml:space="preserve"> </w:t>
      </w:r>
      <w:r w:rsidR="71DECA1F" w:rsidRPr="00940517">
        <w:rPr>
          <w:rFonts w:eastAsia="Arial" w:cs="Arial"/>
          <w:color w:val="000000" w:themeColor="text1"/>
        </w:rPr>
        <w:t>upcoming</w:t>
      </w:r>
      <w:r w:rsidRPr="00940517">
        <w:rPr>
          <w:rFonts w:eastAsia="Arial" w:cs="Arial"/>
          <w:color w:val="000000" w:themeColor="text1"/>
        </w:rPr>
        <w:t xml:space="preserve"> student growth data</w:t>
      </w:r>
      <w:r w:rsidR="3E2D5154" w:rsidRPr="00940517">
        <w:rPr>
          <w:rFonts w:eastAsia="Arial" w:cs="Arial"/>
          <w:color w:val="000000" w:themeColor="text1"/>
        </w:rPr>
        <w:t>, when available,</w:t>
      </w:r>
      <w:r w:rsidRPr="00940517">
        <w:rPr>
          <w:rFonts w:eastAsia="Arial" w:cs="Arial"/>
          <w:color w:val="000000" w:themeColor="text1"/>
        </w:rPr>
        <w:t xml:space="preserve"> </w:t>
      </w:r>
      <w:r w:rsidR="6F832364" w:rsidRPr="00940517">
        <w:rPr>
          <w:rFonts w:eastAsia="Arial" w:cs="Arial"/>
          <w:color w:val="000000" w:themeColor="text1"/>
        </w:rPr>
        <w:t xml:space="preserve">either </w:t>
      </w:r>
      <w:r w:rsidRPr="00940517">
        <w:rPr>
          <w:rFonts w:eastAsia="Arial" w:cs="Arial"/>
          <w:color w:val="000000" w:themeColor="text1"/>
        </w:rPr>
        <w:t xml:space="preserve">on the Dashboard or within the </w:t>
      </w:r>
      <w:r w:rsidR="00F74007" w:rsidRPr="00940517">
        <w:rPr>
          <w:rFonts w:eastAsia="Arial" w:cs="Arial"/>
          <w:color w:val="000000" w:themeColor="text1"/>
        </w:rPr>
        <w:t>a</w:t>
      </w:r>
      <w:r w:rsidRPr="00940517">
        <w:rPr>
          <w:rFonts w:eastAsia="Arial" w:cs="Arial"/>
          <w:color w:val="000000" w:themeColor="text1"/>
        </w:rPr>
        <w:t xml:space="preserve">ccountability system. If the SBE has a desire to incorporate the growth scores into an existing indicator, or add it as an additional indicator to the Dashboard, this change may require additional </w:t>
      </w:r>
      <w:r w:rsidR="00F74007" w:rsidRPr="00940517">
        <w:rPr>
          <w:rFonts w:eastAsia="Arial" w:cs="Arial"/>
          <w:color w:val="000000" w:themeColor="text1"/>
        </w:rPr>
        <w:t>SBE</w:t>
      </w:r>
      <w:r w:rsidR="3F8530EB" w:rsidRPr="00940517">
        <w:rPr>
          <w:rFonts w:eastAsia="Arial" w:cs="Arial"/>
          <w:color w:val="000000" w:themeColor="text1"/>
        </w:rPr>
        <w:t xml:space="preserve"> decisions </w:t>
      </w:r>
      <w:r w:rsidRPr="00940517">
        <w:rPr>
          <w:rFonts w:eastAsia="Arial" w:cs="Arial"/>
          <w:color w:val="000000" w:themeColor="text1"/>
        </w:rPr>
        <w:t>to modify either the ESSA State Plan, the</w:t>
      </w:r>
      <w:r w:rsidR="6530028C" w:rsidRPr="00940517">
        <w:rPr>
          <w:rFonts w:eastAsia="Arial" w:cs="Arial"/>
          <w:color w:val="000000" w:themeColor="text1"/>
        </w:rPr>
        <w:t xml:space="preserve"> </w:t>
      </w:r>
      <w:r w:rsidR="6530028C" w:rsidRPr="00940517">
        <w:rPr>
          <w:rFonts w:eastAsia="Arial" w:cs="Arial"/>
        </w:rPr>
        <w:t>eligibility determinations</w:t>
      </w:r>
      <w:r w:rsidR="6530028C" w:rsidRPr="00940517">
        <w:rPr>
          <w:rFonts w:eastAsia="Arial" w:cs="Arial"/>
          <w:color w:val="000000" w:themeColor="text1"/>
        </w:rPr>
        <w:t xml:space="preserve"> </w:t>
      </w:r>
      <w:r w:rsidRPr="00940517">
        <w:rPr>
          <w:rFonts w:eastAsia="Arial" w:cs="Arial"/>
          <w:color w:val="000000" w:themeColor="text1"/>
        </w:rPr>
        <w:t>for differentiated assistance under LCFF, or both.</w:t>
      </w:r>
    </w:p>
    <w:p w14:paraId="33EFEC57" w14:textId="50FC57E3" w:rsidR="00BF103F" w:rsidRPr="00940517" w:rsidRDefault="006C6D0F" w:rsidP="00A37649">
      <w:pPr>
        <w:pStyle w:val="Heading3"/>
      </w:pPr>
      <w:r w:rsidRPr="00940517">
        <w:t>Resources</w:t>
      </w:r>
    </w:p>
    <w:p w14:paraId="561459C3" w14:textId="60D813EB" w:rsidR="00D10A9E" w:rsidRPr="00940517" w:rsidRDefault="00D10A9E" w:rsidP="004132C6">
      <w:pPr>
        <w:spacing w:after="240"/>
        <w:rPr>
          <w:rFonts w:cs="Arial"/>
        </w:rPr>
      </w:pPr>
      <w:r w:rsidRPr="00940517">
        <w:rPr>
          <w:rFonts w:cs="Arial"/>
        </w:rPr>
        <w:t>The CDE continues to offer new resources and improvements on existing resources to increase LEA and public engagement and understanding of the Dashboard. The information below identifies several notable resources.</w:t>
      </w:r>
    </w:p>
    <w:p w14:paraId="71DB27BC" w14:textId="36198366" w:rsidR="00AE7FA1" w:rsidRPr="00940517" w:rsidRDefault="00AE7FA1" w:rsidP="00AE7FA1">
      <w:pPr>
        <w:spacing w:after="240"/>
        <w:rPr>
          <w:rStyle w:val="Heading4Char"/>
        </w:rPr>
      </w:pPr>
      <w:r w:rsidRPr="00940517">
        <w:rPr>
          <w:rStyle w:val="Heading4Char"/>
        </w:rPr>
        <w:t xml:space="preserve">Dashboard Reference Guide </w:t>
      </w:r>
    </w:p>
    <w:p w14:paraId="53D9B2C4" w14:textId="611D6D98" w:rsidR="00FA6242" w:rsidRPr="00940517" w:rsidRDefault="009A0A5C" w:rsidP="00AE7FA1">
      <w:pPr>
        <w:spacing w:after="240"/>
        <w:rPr>
          <w:rStyle w:val="Heading4Char"/>
          <w:b w:val="0"/>
          <w:i w:val="0"/>
          <w:sz w:val="24"/>
        </w:rPr>
      </w:pPr>
      <w:r w:rsidRPr="00940517">
        <w:rPr>
          <w:rStyle w:val="Heading4Char"/>
          <w:b w:val="0"/>
          <w:i w:val="0"/>
          <w:sz w:val="24"/>
        </w:rPr>
        <w:t>When the</w:t>
      </w:r>
      <w:r w:rsidR="005831C0" w:rsidRPr="00940517">
        <w:rPr>
          <w:rStyle w:val="Heading4Char"/>
          <w:b w:val="0"/>
          <w:i w:val="0"/>
          <w:sz w:val="24"/>
        </w:rPr>
        <w:t xml:space="preserve"> 2021</w:t>
      </w:r>
      <w:r w:rsidR="00FA6242" w:rsidRPr="00940517">
        <w:rPr>
          <w:rStyle w:val="Heading4Char"/>
          <w:b w:val="0"/>
          <w:i w:val="0"/>
          <w:sz w:val="24"/>
        </w:rPr>
        <w:t xml:space="preserve"> Dashboard</w:t>
      </w:r>
      <w:r w:rsidRPr="00940517">
        <w:rPr>
          <w:rStyle w:val="Heading4Char"/>
          <w:b w:val="0"/>
          <w:i w:val="0"/>
          <w:sz w:val="24"/>
        </w:rPr>
        <w:t xml:space="preserve"> was released</w:t>
      </w:r>
      <w:r w:rsidR="005831C0" w:rsidRPr="00940517">
        <w:rPr>
          <w:rStyle w:val="Heading4Char"/>
          <w:b w:val="0"/>
          <w:i w:val="0"/>
          <w:sz w:val="24"/>
        </w:rPr>
        <w:t xml:space="preserve">, </w:t>
      </w:r>
      <w:r w:rsidR="00FA6242" w:rsidRPr="00940517">
        <w:rPr>
          <w:rStyle w:val="Heading4Char"/>
          <w:b w:val="0"/>
          <w:i w:val="0"/>
          <w:sz w:val="24"/>
        </w:rPr>
        <w:t xml:space="preserve">the CDE </w:t>
      </w:r>
      <w:r w:rsidR="005831C0" w:rsidRPr="00940517">
        <w:rPr>
          <w:rStyle w:val="Heading4Char"/>
          <w:b w:val="0"/>
          <w:i w:val="0"/>
          <w:sz w:val="24"/>
        </w:rPr>
        <w:t>published</w:t>
      </w:r>
      <w:r w:rsidR="00FA6242" w:rsidRPr="00940517">
        <w:rPr>
          <w:rStyle w:val="Heading4Char"/>
          <w:b w:val="0"/>
          <w:i w:val="0"/>
          <w:sz w:val="24"/>
        </w:rPr>
        <w:t xml:space="preserve"> a Dashboard Reference Guide</w:t>
      </w:r>
      <w:r w:rsidR="005831C0" w:rsidRPr="00940517">
        <w:rPr>
          <w:rStyle w:val="Heading4Char"/>
          <w:b w:val="0"/>
          <w:i w:val="0"/>
          <w:sz w:val="24"/>
        </w:rPr>
        <w:t xml:space="preserve"> to </w:t>
      </w:r>
      <w:r w:rsidR="001B3557" w:rsidRPr="00940517">
        <w:rPr>
          <w:rStyle w:val="Heading4Char"/>
          <w:b w:val="0"/>
          <w:i w:val="0"/>
          <w:sz w:val="24"/>
        </w:rPr>
        <w:t xml:space="preserve">help readers establish a foundational understanding of the </w:t>
      </w:r>
      <w:r w:rsidR="005831C0" w:rsidRPr="00940517">
        <w:rPr>
          <w:rStyle w:val="Heading4Char"/>
          <w:b w:val="0"/>
          <w:i w:val="0"/>
          <w:sz w:val="24"/>
        </w:rPr>
        <w:t>release</w:t>
      </w:r>
      <w:r w:rsidR="00743468" w:rsidRPr="00940517">
        <w:rPr>
          <w:rStyle w:val="Heading4Char"/>
          <w:b w:val="0"/>
          <w:i w:val="0"/>
          <w:sz w:val="24"/>
        </w:rPr>
        <w:t xml:space="preserve">. </w:t>
      </w:r>
      <w:r w:rsidR="0093590E" w:rsidRPr="00940517">
        <w:rPr>
          <w:rStyle w:val="Heading4Char"/>
          <w:b w:val="0"/>
          <w:i w:val="0"/>
          <w:sz w:val="24"/>
        </w:rPr>
        <w:t xml:space="preserve">The guide </w:t>
      </w:r>
      <w:r w:rsidR="00660031" w:rsidRPr="00940517">
        <w:rPr>
          <w:rStyle w:val="Heading4Char"/>
          <w:b w:val="0"/>
          <w:i w:val="0"/>
          <w:sz w:val="24"/>
        </w:rPr>
        <w:t>included</w:t>
      </w:r>
      <w:r w:rsidR="005831C0" w:rsidRPr="00940517">
        <w:rPr>
          <w:rStyle w:val="Heading4Char"/>
          <w:b w:val="0"/>
          <w:i w:val="0"/>
          <w:sz w:val="24"/>
        </w:rPr>
        <w:t xml:space="preserve"> an overview of each state and local indicator, and it a</w:t>
      </w:r>
      <w:r w:rsidR="001B3557" w:rsidRPr="00940517">
        <w:rPr>
          <w:rStyle w:val="Heading4Char"/>
          <w:b w:val="0"/>
          <w:i w:val="0"/>
          <w:sz w:val="24"/>
        </w:rPr>
        <w:t xml:space="preserve">lso </w:t>
      </w:r>
      <w:r w:rsidR="00B3541F" w:rsidRPr="00940517">
        <w:rPr>
          <w:rStyle w:val="Heading4Char"/>
          <w:b w:val="0"/>
          <w:i w:val="0"/>
          <w:sz w:val="24"/>
        </w:rPr>
        <w:t>detail</w:t>
      </w:r>
      <w:r w:rsidR="00660031" w:rsidRPr="00940517">
        <w:rPr>
          <w:rStyle w:val="Heading4Char"/>
          <w:b w:val="0"/>
          <w:i w:val="0"/>
          <w:sz w:val="24"/>
        </w:rPr>
        <w:t>ed</w:t>
      </w:r>
      <w:r w:rsidR="00B3541F" w:rsidRPr="00940517">
        <w:rPr>
          <w:rStyle w:val="Heading4Char"/>
          <w:b w:val="0"/>
          <w:i w:val="0"/>
          <w:sz w:val="24"/>
        </w:rPr>
        <w:t>:</w:t>
      </w:r>
    </w:p>
    <w:p w14:paraId="2D201A95" w14:textId="7C88AD31" w:rsidR="00B3541F" w:rsidRPr="00940517" w:rsidRDefault="00B3541F" w:rsidP="007F4252">
      <w:pPr>
        <w:pStyle w:val="ListParagraph"/>
        <w:numPr>
          <w:ilvl w:val="0"/>
          <w:numId w:val="15"/>
        </w:numPr>
        <w:spacing w:after="240"/>
        <w:ind w:left="792"/>
        <w:rPr>
          <w:rStyle w:val="Heading4Char"/>
          <w:b w:val="0"/>
          <w:i w:val="0"/>
          <w:sz w:val="24"/>
        </w:rPr>
      </w:pPr>
      <w:r w:rsidRPr="00940517">
        <w:rPr>
          <w:rStyle w:val="Heading4Char"/>
          <w:b w:val="0"/>
          <w:i w:val="0"/>
          <w:sz w:val="24"/>
        </w:rPr>
        <w:t>What data and information are included in the 2021 Dashboard,</w:t>
      </w:r>
    </w:p>
    <w:p w14:paraId="0BD2A1B2" w14:textId="22691AC0" w:rsidR="00E869D0" w:rsidRPr="00940517" w:rsidRDefault="00FA6242" w:rsidP="007F4252">
      <w:pPr>
        <w:pStyle w:val="ListParagraph"/>
        <w:numPr>
          <w:ilvl w:val="0"/>
          <w:numId w:val="15"/>
        </w:numPr>
        <w:spacing w:after="240"/>
        <w:ind w:left="792"/>
        <w:rPr>
          <w:rStyle w:val="Heading4Char"/>
          <w:b w:val="0"/>
          <w:i w:val="0"/>
          <w:sz w:val="24"/>
        </w:rPr>
      </w:pPr>
      <w:r w:rsidRPr="00940517">
        <w:rPr>
          <w:rStyle w:val="Heading4Char"/>
          <w:b w:val="0"/>
          <w:i w:val="0"/>
          <w:sz w:val="24"/>
        </w:rPr>
        <w:t xml:space="preserve">Where viewers can find state and local data </w:t>
      </w:r>
      <w:r w:rsidR="00A84E33" w:rsidRPr="00940517">
        <w:rPr>
          <w:rStyle w:val="Heading4Char"/>
          <w:b w:val="0"/>
          <w:i w:val="0"/>
          <w:sz w:val="24"/>
        </w:rPr>
        <w:t>associated with each state indicator</w:t>
      </w:r>
      <w:r w:rsidR="001B3557" w:rsidRPr="00940517">
        <w:rPr>
          <w:rStyle w:val="Heading4Char"/>
          <w:b w:val="0"/>
          <w:i w:val="0"/>
          <w:sz w:val="24"/>
        </w:rPr>
        <w:t>, and how to access and navigate through the reports that publish these data, and</w:t>
      </w:r>
    </w:p>
    <w:p w14:paraId="1D6836E4" w14:textId="2224E598" w:rsidR="00FA6242" w:rsidRPr="00940517" w:rsidRDefault="001E72DD" w:rsidP="007F4252">
      <w:pPr>
        <w:pStyle w:val="ListParagraph"/>
        <w:numPr>
          <w:ilvl w:val="0"/>
          <w:numId w:val="15"/>
        </w:numPr>
        <w:spacing w:after="240"/>
        <w:ind w:left="792"/>
        <w:rPr>
          <w:rStyle w:val="Heading4Char"/>
          <w:b w:val="0"/>
          <w:i w:val="0"/>
          <w:sz w:val="24"/>
        </w:rPr>
      </w:pPr>
      <w:r w:rsidRPr="00940517">
        <w:rPr>
          <w:rStyle w:val="Heading4Char"/>
          <w:b w:val="0"/>
          <w:i w:val="0"/>
          <w:sz w:val="24"/>
        </w:rPr>
        <w:t>What critical information LEAs can access in relation to local indicators.</w:t>
      </w:r>
    </w:p>
    <w:p w14:paraId="7FF0C133" w14:textId="2F59E334" w:rsidR="00AE7FA1" w:rsidRPr="00940517" w:rsidRDefault="00A84E33" w:rsidP="00CB4A17">
      <w:pPr>
        <w:rPr>
          <w:rFonts w:eastAsia="Arial" w:cs="Arial"/>
        </w:rPr>
      </w:pPr>
      <w:r w:rsidRPr="00940517">
        <w:rPr>
          <w:rStyle w:val="Heading4Char"/>
          <w:b w:val="0"/>
          <w:i w:val="0"/>
          <w:sz w:val="24"/>
        </w:rPr>
        <w:t xml:space="preserve">This </w:t>
      </w:r>
      <w:r w:rsidR="00500C37" w:rsidRPr="00940517">
        <w:rPr>
          <w:rStyle w:val="Heading4Char"/>
          <w:b w:val="0"/>
          <w:i w:val="0"/>
          <w:sz w:val="24"/>
        </w:rPr>
        <w:t>reference guide</w:t>
      </w:r>
      <w:r w:rsidRPr="00940517">
        <w:rPr>
          <w:rStyle w:val="Heading4Char"/>
          <w:b w:val="0"/>
          <w:i w:val="0"/>
          <w:sz w:val="24"/>
        </w:rPr>
        <w:t xml:space="preserve"> </w:t>
      </w:r>
      <w:r w:rsidR="00036735" w:rsidRPr="00940517">
        <w:rPr>
          <w:rStyle w:val="Heading4Char"/>
          <w:b w:val="0"/>
          <w:i w:val="0"/>
          <w:sz w:val="24"/>
        </w:rPr>
        <w:t>is</w:t>
      </w:r>
      <w:r w:rsidR="00633B99" w:rsidRPr="00940517">
        <w:rPr>
          <w:rStyle w:val="Heading4Char"/>
          <w:b w:val="0"/>
          <w:i w:val="0"/>
          <w:sz w:val="24"/>
        </w:rPr>
        <w:t xml:space="preserve"> </w:t>
      </w:r>
      <w:r w:rsidR="00C6351F" w:rsidRPr="00940517">
        <w:rPr>
          <w:rStyle w:val="Heading4Char"/>
          <w:b w:val="0"/>
          <w:i w:val="0"/>
          <w:sz w:val="24"/>
        </w:rPr>
        <w:t>available</w:t>
      </w:r>
      <w:r w:rsidR="00633B99" w:rsidRPr="00940517">
        <w:rPr>
          <w:rStyle w:val="Heading4Char"/>
          <w:b w:val="0"/>
          <w:i w:val="0"/>
          <w:sz w:val="24"/>
        </w:rPr>
        <w:t xml:space="preserve"> through </w:t>
      </w:r>
      <w:r w:rsidR="00C6351F" w:rsidRPr="00940517">
        <w:rPr>
          <w:rStyle w:val="Heading4Char"/>
          <w:b w:val="0"/>
          <w:i w:val="0"/>
          <w:sz w:val="24"/>
        </w:rPr>
        <w:t>the following</w:t>
      </w:r>
      <w:r w:rsidR="00633B99" w:rsidRPr="00940517">
        <w:rPr>
          <w:rStyle w:val="Heading4Char"/>
          <w:b w:val="0"/>
          <w:i w:val="0"/>
          <w:sz w:val="24"/>
        </w:rPr>
        <w:t xml:space="preserve"> </w:t>
      </w:r>
      <w:r w:rsidR="009613A1" w:rsidRPr="00940517">
        <w:rPr>
          <w:rStyle w:val="Heading4Char"/>
          <w:b w:val="0"/>
          <w:i w:val="0"/>
          <w:sz w:val="24"/>
        </w:rPr>
        <w:t xml:space="preserve">web address: </w:t>
      </w:r>
      <w:hyperlink r:id="rId139" w:tooltip="https://www.cde.ca.gov/ta/ac/cm/documents/refguidedashboard.docx">
        <w:r w:rsidR="00AE7FA1" w:rsidRPr="00940517">
          <w:rPr>
            <w:rStyle w:val="Hyperlink"/>
            <w:rFonts w:eastAsia="Arial" w:cs="Arial"/>
          </w:rPr>
          <w:t>https://www.cde.ca.gov/ta/ac/cm/documents/refguidedashboard.docx</w:t>
        </w:r>
      </w:hyperlink>
      <w:r w:rsidR="00AE7FA1" w:rsidRPr="00940517">
        <w:rPr>
          <w:rFonts w:eastAsia="Arial" w:cs="Arial"/>
        </w:rPr>
        <w:t>.</w:t>
      </w:r>
    </w:p>
    <w:p w14:paraId="4B55EBC2" w14:textId="1B453B73" w:rsidR="006C6D0F" w:rsidRPr="00940517" w:rsidRDefault="4C50B44B" w:rsidP="004132C6">
      <w:pPr>
        <w:pStyle w:val="Heading4"/>
        <w:rPr>
          <w:i w:val="0"/>
          <w:szCs w:val="32"/>
        </w:rPr>
      </w:pPr>
      <w:r w:rsidRPr="00940517">
        <w:rPr>
          <w:szCs w:val="32"/>
        </w:rPr>
        <w:t>Student Online Accountability Record Status</w:t>
      </w:r>
      <w:r w:rsidR="4EF86080" w:rsidRPr="00940517">
        <w:rPr>
          <w:szCs w:val="32"/>
        </w:rPr>
        <w:t xml:space="preserve"> System</w:t>
      </w:r>
    </w:p>
    <w:p w14:paraId="46E997B7" w14:textId="6BFDD24C" w:rsidR="006C6D0F" w:rsidRPr="00940517" w:rsidRDefault="6C2B297D" w:rsidP="004132C6">
      <w:pPr>
        <w:spacing w:after="240"/>
        <w:rPr>
          <w:rFonts w:eastAsia="Arial" w:cs="Arial"/>
          <w:color w:val="000000" w:themeColor="text1"/>
        </w:rPr>
      </w:pPr>
      <w:r w:rsidRPr="00940517">
        <w:rPr>
          <w:rFonts w:eastAsia="Arial" w:cs="Arial"/>
          <w:color w:val="000000" w:themeColor="text1"/>
        </w:rPr>
        <w:t>In fall 2021, the CDE developed a new web portal to securely share student-level data files with LEAs. The Student Online Accountability Record Status (SOARS) system will allow the CDE to customize the results for each LEA and share it in a secure manner. Prior to the SOARS system, the CDE was limited to posting a statewide downloadable file on the CDE website.</w:t>
      </w:r>
    </w:p>
    <w:p w14:paraId="096B50FF" w14:textId="79DFD5B3" w:rsidR="0087096F" w:rsidRPr="00940517" w:rsidRDefault="6C2B297D" w:rsidP="00315BEC">
      <w:pPr>
        <w:rPr>
          <w:rFonts w:eastAsia="Arial" w:cs="Arial"/>
          <w:i/>
        </w:rPr>
      </w:pPr>
      <w:r w:rsidRPr="00940517">
        <w:rPr>
          <w:rFonts w:eastAsia="Arial" w:cs="Arial"/>
        </w:rPr>
        <w:t>The SOARS system will also provide the CDE opportunities to share student-level Dashboard results with LEAs</w:t>
      </w:r>
      <w:r w:rsidR="004571E6" w:rsidRPr="00940517">
        <w:rPr>
          <w:rFonts w:eastAsia="Arial" w:cs="Arial"/>
        </w:rPr>
        <w:t>, which has been a continued request</w:t>
      </w:r>
      <w:r w:rsidRPr="00940517">
        <w:rPr>
          <w:rFonts w:eastAsia="Arial" w:cs="Arial"/>
        </w:rPr>
        <w:t xml:space="preserve">. </w:t>
      </w:r>
      <w:r w:rsidR="004571E6" w:rsidRPr="00940517">
        <w:rPr>
          <w:rFonts w:eastAsia="Arial" w:cs="Arial"/>
        </w:rPr>
        <w:t xml:space="preserve">While LEAs can connect to specific student-level CALPADS reports for some of the Dashboard state indicators, it is not always streamlined and not available for all state indicators. </w:t>
      </w:r>
      <w:r w:rsidR="00BE1ED6" w:rsidRPr="00940517">
        <w:rPr>
          <w:rFonts w:eastAsia="Arial" w:cs="Arial"/>
        </w:rPr>
        <w:t>Therefore, the d</w:t>
      </w:r>
      <w:r w:rsidRPr="00940517">
        <w:rPr>
          <w:rFonts w:eastAsia="Arial" w:cs="Arial"/>
        </w:rPr>
        <w:t xml:space="preserve">ata files made available on the SOARS system will allow LEAs to </w:t>
      </w:r>
      <w:r w:rsidRPr="00940517">
        <w:rPr>
          <w:rFonts w:eastAsia="Arial" w:cs="Arial"/>
        </w:rPr>
        <w:lastRenderedPageBreak/>
        <w:t xml:space="preserve">identify how their students met various inclusion </w:t>
      </w:r>
      <w:r w:rsidR="005A1FF4" w:rsidRPr="00940517">
        <w:rPr>
          <w:rFonts w:eastAsia="Arial" w:cs="Arial"/>
        </w:rPr>
        <w:t xml:space="preserve">and </w:t>
      </w:r>
      <w:r w:rsidRPr="00940517">
        <w:rPr>
          <w:rFonts w:eastAsia="Arial" w:cs="Arial"/>
        </w:rPr>
        <w:t xml:space="preserve">exclusion </w:t>
      </w:r>
      <w:r w:rsidR="005A1FF4" w:rsidRPr="00940517">
        <w:rPr>
          <w:rFonts w:eastAsia="Arial" w:cs="Arial"/>
        </w:rPr>
        <w:t xml:space="preserve">criteria for </w:t>
      </w:r>
      <w:r w:rsidRPr="00940517">
        <w:rPr>
          <w:rFonts w:eastAsia="Arial" w:cs="Arial"/>
        </w:rPr>
        <w:t>specifi</w:t>
      </w:r>
      <w:r w:rsidR="00BE1ED6" w:rsidRPr="00940517">
        <w:rPr>
          <w:rFonts w:eastAsia="Arial" w:cs="Arial"/>
        </w:rPr>
        <w:t>c</w:t>
      </w:r>
      <w:r w:rsidRPr="00940517">
        <w:rPr>
          <w:rFonts w:eastAsia="Arial" w:cs="Arial"/>
        </w:rPr>
        <w:t xml:space="preserve"> Dashboard indicators.</w:t>
      </w:r>
    </w:p>
    <w:p w14:paraId="7415F175" w14:textId="2C173115" w:rsidR="00D10A9E" w:rsidRPr="00940517" w:rsidRDefault="00743468" w:rsidP="00315BEC">
      <w:pPr>
        <w:pStyle w:val="Heading4"/>
      </w:pPr>
      <w:r w:rsidRPr="00940517">
        <w:t xml:space="preserve">School Dashboard </w:t>
      </w:r>
      <w:r w:rsidR="00D10A9E" w:rsidRPr="00940517">
        <w:t>Additional Reports</w:t>
      </w:r>
    </w:p>
    <w:p w14:paraId="207D61C8" w14:textId="20C2EA20" w:rsidR="00D10A9E" w:rsidRPr="00940517" w:rsidRDefault="00D10A9E" w:rsidP="004132C6">
      <w:pPr>
        <w:spacing w:after="240"/>
        <w:rPr>
          <w:rFonts w:eastAsia="Arial" w:cs="Arial"/>
        </w:rPr>
      </w:pPr>
      <w:r w:rsidRPr="00940517">
        <w:rPr>
          <w:rFonts w:eastAsia="Arial" w:cs="Arial"/>
        </w:rPr>
        <w:t xml:space="preserve">Since 2018, the CDE has published the School Dashboard Additional Reports to provide data beyond what is reported on the Dashboard. </w:t>
      </w:r>
      <w:r w:rsidRPr="00940517" w:rsidDel="00275B14">
        <w:rPr>
          <w:rFonts w:eastAsia="Arial" w:cs="Arial"/>
        </w:rPr>
        <w:t>During</w:t>
      </w:r>
      <w:r w:rsidRPr="00940517">
        <w:rPr>
          <w:rFonts w:eastAsia="Arial" w:cs="Arial"/>
        </w:rPr>
        <w:t xml:space="preserve"> the years </w:t>
      </w:r>
      <w:r w:rsidRPr="00940517" w:rsidDel="00275B14">
        <w:rPr>
          <w:rFonts w:eastAsia="Arial" w:cs="Arial"/>
        </w:rPr>
        <w:t xml:space="preserve">when </w:t>
      </w:r>
      <w:r w:rsidRPr="00940517">
        <w:rPr>
          <w:rFonts w:eastAsia="Arial" w:cs="Arial"/>
        </w:rPr>
        <w:t xml:space="preserve">state indicators </w:t>
      </w:r>
      <w:r w:rsidRPr="00940517" w:rsidDel="00275B14">
        <w:rPr>
          <w:rFonts w:eastAsia="Arial" w:cs="Arial"/>
        </w:rPr>
        <w:t xml:space="preserve">are </w:t>
      </w:r>
      <w:r w:rsidRPr="00940517">
        <w:rPr>
          <w:rFonts w:eastAsia="Arial" w:cs="Arial"/>
        </w:rPr>
        <w:t>published on the Dashboard, LEAs and the public can access eleven separate reports and gain additional details and insight regarding the Dashboard results. These eleven “additional reports” range from the:</w:t>
      </w:r>
    </w:p>
    <w:p w14:paraId="446189E8" w14:textId="77777777" w:rsidR="00D10A9E" w:rsidRPr="00940517" w:rsidRDefault="00D10A9E" w:rsidP="00032798">
      <w:pPr>
        <w:pStyle w:val="ListParagraph"/>
        <w:numPr>
          <w:ilvl w:val="0"/>
          <w:numId w:val="7"/>
        </w:numPr>
        <w:spacing w:after="240"/>
        <w:rPr>
          <w:rFonts w:eastAsia="Arial" w:cs="Arial"/>
        </w:rPr>
      </w:pPr>
      <w:r w:rsidRPr="00940517">
        <w:rPr>
          <w:rFonts w:eastAsia="Arial" w:cs="Arial"/>
          <w:b/>
        </w:rPr>
        <w:t>Five-by-Five Placement Reports,</w:t>
      </w:r>
      <w:r w:rsidRPr="00940517">
        <w:rPr>
          <w:rFonts w:eastAsia="Arial" w:cs="Arial"/>
        </w:rPr>
        <w:t xml:space="preserve"> which identifies which one of the 25 performance results an LEA, school, or student group achieved on a specific state indicator. There are six five-by-five placement reports, one for each Dashboard indicator.</w:t>
      </w:r>
    </w:p>
    <w:p w14:paraId="77744375" w14:textId="709C7E8D" w:rsidR="00D10A9E" w:rsidRPr="00940517" w:rsidRDefault="00D10A9E" w:rsidP="00032798">
      <w:pPr>
        <w:pStyle w:val="ListParagraph"/>
        <w:numPr>
          <w:ilvl w:val="0"/>
          <w:numId w:val="7"/>
        </w:numPr>
        <w:spacing w:after="240"/>
        <w:rPr>
          <w:rFonts w:eastAsia="Arial" w:cs="Arial"/>
        </w:rPr>
      </w:pPr>
      <w:r w:rsidRPr="00940517">
        <w:rPr>
          <w:rFonts w:eastAsia="Arial" w:cs="Arial"/>
          <w:b/>
        </w:rPr>
        <w:t>Participation Rate Report</w:t>
      </w:r>
      <w:r w:rsidRPr="00940517">
        <w:rPr>
          <w:rFonts w:eastAsia="Arial" w:cs="Arial"/>
        </w:rPr>
        <w:t xml:space="preserve"> that displays the number of students included in the calculation of the participation rates. This report also informs if any adjustments were made to the DFS due to not meeting the federal 95 percent participation rate target and how much of a penalty was applied.</w:t>
      </w:r>
    </w:p>
    <w:p w14:paraId="1618A394" w14:textId="565E1B2F" w:rsidR="00D10A9E" w:rsidRPr="00940517" w:rsidRDefault="00D10A9E" w:rsidP="00032798">
      <w:pPr>
        <w:pStyle w:val="ListParagraph"/>
        <w:numPr>
          <w:ilvl w:val="0"/>
          <w:numId w:val="7"/>
        </w:numPr>
        <w:spacing w:after="240"/>
        <w:rPr>
          <w:rFonts w:eastAsia="Arial" w:cs="Arial"/>
        </w:rPr>
      </w:pPr>
      <w:r w:rsidRPr="00940517">
        <w:rPr>
          <w:rFonts w:eastAsia="Arial" w:cs="Arial"/>
          <w:b/>
        </w:rPr>
        <w:t xml:space="preserve">CCI Additional Report, </w:t>
      </w:r>
      <w:r w:rsidRPr="00940517">
        <w:rPr>
          <w:rFonts w:eastAsia="Arial" w:cs="Arial"/>
        </w:rPr>
        <w:t>as noted earlier, contains details of the number of students who achieved each CCI preparedness level for each measure.</w:t>
      </w:r>
    </w:p>
    <w:p w14:paraId="4A4822A8" w14:textId="35340B99" w:rsidR="00D10A9E" w:rsidRPr="00940517" w:rsidRDefault="00E44B2E" w:rsidP="533F1320">
      <w:pPr>
        <w:pStyle w:val="ListParagraph"/>
        <w:numPr>
          <w:ilvl w:val="0"/>
          <w:numId w:val="7"/>
        </w:numPr>
        <w:spacing w:after="240"/>
        <w:ind w:left="792"/>
        <w:rPr>
          <w:rFonts w:eastAsia="Arial" w:cs="Arial"/>
        </w:rPr>
      </w:pPr>
      <w:r w:rsidRPr="00940517">
        <w:rPr>
          <w:rFonts w:eastAsia="Arial" w:cs="Arial"/>
          <w:b/>
          <w:bCs/>
        </w:rPr>
        <w:t>Graduation Rate Additional Report</w:t>
      </w:r>
      <w:r w:rsidRPr="00940517">
        <w:rPr>
          <w:rFonts w:eastAsia="Arial" w:cs="Arial"/>
        </w:rPr>
        <w:t xml:space="preserve">, as mentioned </w:t>
      </w:r>
      <w:r w:rsidR="00C109F3" w:rsidRPr="00940517">
        <w:rPr>
          <w:rFonts w:eastAsia="Arial" w:cs="Arial"/>
        </w:rPr>
        <w:t>previously</w:t>
      </w:r>
      <w:r w:rsidRPr="00940517">
        <w:rPr>
          <w:rFonts w:eastAsia="Arial" w:cs="Arial"/>
        </w:rPr>
        <w:t xml:space="preserve">, </w:t>
      </w:r>
      <w:r w:rsidR="00C109F3" w:rsidRPr="00940517">
        <w:rPr>
          <w:rFonts w:eastAsia="Arial" w:cs="Arial"/>
        </w:rPr>
        <w:t xml:space="preserve">reflects students who graduated </w:t>
      </w:r>
      <w:r w:rsidR="009A0A5C" w:rsidRPr="00940517">
        <w:rPr>
          <w:rFonts w:eastAsia="Arial" w:cs="Arial"/>
        </w:rPr>
        <w:t>as fourth- or fifth-year graduates or was included as part of the one-year DASS graduation rate.</w:t>
      </w:r>
    </w:p>
    <w:p w14:paraId="4C666238" w14:textId="3EAFD884" w:rsidR="00D10A9E" w:rsidRPr="00940517" w:rsidRDefault="00D10A9E" w:rsidP="00032798">
      <w:pPr>
        <w:pStyle w:val="ListParagraph"/>
        <w:numPr>
          <w:ilvl w:val="0"/>
          <w:numId w:val="7"/>
        </w:numPr>
        <w:spacing w:after="240"/>
        <w:rPr>
          <w:rFonts w:eastAsia="Arial" w:cs="Arial"/>
        </w:rPr>
      </w:pPr>
      <w:r w:rsidRPr="00940517">
        <w:rPr>
          <w:rFonts w:eastAsia="Arial" w:cs="Arial"/>
          <w:b/>
        </w:rPr>
        <w:t>Student Group Report</w:t>
      </w:r>
      <w:r w:rsidRPr="00940517">
        <w:rPr>
          <w:rFonts w:eastAsia="Arial" w:cs="Arial"/>
        </w:rPr>
        <w:t xml:space="preserve"> displays at-a-glance, the performance color for all student groups across all state indicators. This report may be helpful for LEAs to use when reviewing the data for Differentiated Assistance for LEAs under LCFF since the criteria is based on student group performance.</w:t>
      </w:r>
    </w:p>
    <w:p w14:paraId="4A0FB0FF" w14:textId="7B120C01" w:rsidR="00D10A9E" w:rsidRPr="00940517" w:rsidRDefault="00D10A9E" w:rsidP="00032798">
      <w:pPr>
        <w:pStyle w:val="ListParagraph"/>
        <w:numPr>
          <w:ilvl w:val="0"/>
          <w:numId w:val="7"/>
        </w:numPr>
        <w:spacing w:after="240"/>
        <w:rPr>
          <w:rFonts w:eastAsia="Arial" w:cs="Arial"/>
        </w:rPr>
      </w:pPr>
      <w:r w:rsidRPr="00940517">
        <w:rPr>
          <w:rFonts w:eastAsia="Arial" w:cs="Arial"/>
          <w:b/>
        </w:rPr>
        <w:t>District Performance/Charter Performance by County</w:t>
      </w:r>
      <w:r w:rsidRPr="00940517">
        <w:rPr>
          <w:rFonts w:eastAsia="Arial" w:cs="Arial"/>
        </w:rPr>
        <w:t>, which is a fairly new report that allows users to view a list of all districts/charters in their county and the performance colors achieved for each state indicator. The report can also be viewed by student group data.</w:t>
      </w:r>
    </w:p>
    <w:p w14:paraId="1B924267" w14:textId="442EF2D4" w:rsidR="00D10A9E" w:rsidRPr="00940517" w:rsidRDefault="00D10A9E" w:rsidP="00262FEB">
      <w:pPr>
        <w:pStyle w:val="Heading4"/>
        <w:tabs>
          <w:tab w:val="right" w:pos="9360"/>
        </w:tabs>
      </w:pPr>
      <w:r w:rsidRPr="00940517">
        <w:t>Accountability Listserv</w:t>
      </w:r>
    </w:p>
    <w:p w14:paraId="70C0A819" w14:textId="27874F07" w:rsidR="00262FEB" w:rsidRPr="00940517" w:rsidRDefault="00D10A9E" w:rsidP="00D10A9E">
      <w:pPr>
        <w:rPr>
          <w:rFonts w:eastAsia="Arial" w:cs="Arial"/>
        </w:rPr>
      </w:pPr>
      <w:r w:rsidRPr="00940517">
        <w:rPr>
          <w:rFonts w:eastAsia="Arial" w:cs="Arial"/>
        </w:rPr>
        <w:t xml:space="preserve">To strengthen the communication with LEAs, the CDE has redesigned the existing Accountability Coordinator listserv, which serves as the connecting channel between the state and local levels. LEA staff who sign up on the listserv receive critical Dashboard updates, information on upcoming activities, changes to accountability, and access to private previews of the Dashboard data prior to the public release. By </w:t>
      </w:r>
      <w:r w:rsidRPr="00940517">
        <w:rPr>
          <w:rFonts w:eastAsia="Arial" w:cs="Arial"/>
        </w:rPr>
        <w:lastRenderedPageBreak/>
        <w:t>releasing these email notifications, the goal is to promote transparency and more exchanges between the CDE and LEAs.</w:t>
      </w:r>
    </w:p>
    <w:p w14:paraId="1916F5B5" w14:textId="66844520" w:rsidR="00B31555" w:rsidRPr="00940517" w:rsidRDefault="00954F3B" w:rsidP="00B31555">
      <w:pPr>
        <w:pStyle w:val="Heading4"/>
      </w:pPr>
      <w:r w:rsidRPr="00940517">
        <w:t xml:space="preserve">Reconnecting </w:t>
      </w:r>
      <w:r w:rsidR="00FA6242" w:rsidRPr="00940517">
        <w:t>through Social Media</w:t>
      </w:r>
    </w:p>
    <w:p w14:paraId="3201BCDD" w14:textId="266E0A0C" w:rsidR="0053009C" w:rsidRPr="00940517" w:rsidRDefault="00871011" w:rsidP="00954F3B">
      <w:pPr>
        <w:rPr>
          <w:rFonts w:eastAsia="Arial" w:cs="Arial"/>
        </w:rPr>
      </w:pPr>
      <w:r w:rsidRPr="00940517">
        <w:rPr>
          <w:rFonts w:cs="Arial"/>
          <w:color w:val="202124"/>
          <w:shd w:val="clear" w:color="auto" w:fill="FFFFFF"/>
        </w:rPr>
        <w:t xml:space="preserve">To </w:t>
      </w:r>
      <w:r w:rsidR="00513665" w:rsidRPr="00940517">
        <w:rPr>
          <w:rFonts w:cs="Arial"/>
          <w:color w:val="202124"/>
          <w:shd w:val="clear" w:color="auto" w:fill="FFFFFF"/>
        </w:rPr>
        <w:t xml:space="preserve">reach a wider audience and raise more awareness </w:t>
      </w:r>
      <w:r w:rsidR="0040126B" w:rsidRPr="00940517">
        <w:rPr>
          <w:rFonts w:cs="Arial"/>
          <w:color w:val="202124"/>
          <w:shd w:val="clear" w:color="auto" w:fill="FFFFFF"/>
        </w:rPr>
        <w:t>of</w:t>
      </w:r>
      <w:r w:rsidR="00513665" w:rsidRPr="00940517">
        <w:rPr>
          <w:rFonts w:cs="Arial"/>
          <w:color w:val="202124"/>
          <w:shd w:val="clear" w:color="auto" w:fill="FFFFFF"/>
        </w:rPr>
        <w:t xml:space="preserve"> </w:t>
      </w:r>
      <w:r w:rsidR="00B87586" w:rsidRPr="00940517">
        <w:rPr>
          <w:rFonts w:cs="Arial"/>
          <w:color w:val="202124"/>
          <w:shd w:val="clear" w:color="auto" w:fill="FFFFFF"/>
        </w:rPr>
        <w:t>data releases</w:t>
      </w:r>
      <w:r w:rsidR="00513665" w:rsidRPr="00940517">
        <w:rPr>
          <w:rFonts w:cs="Arial"/>
          <w:color w:val="202124"/>
          <w:shd w:val="clear" w:color="auto" w:fill="FFFFFF"/>
        </w:rPr>
        <w:t xml:space="preserve">, </w:t>
      </w:r>
      <w:r w:rsidR="00B87586" w:rsidRPr="00940517">
        <w:rPr>
          <w:rFonts w:cs="Arial"/>
          <w:color w:val="202124"/>
          <w:shd w:val="clear" w:color="auto" w:fill="FFFFFF"/>
        </w:rPr>
        <w:t>the CDE has</w:t>
      </w:r>
      <w:r w:rsidRPr="00940517">
        <w:rPr>
          <w:rFonts w:cs="Arial"/>
          <w:color w:val="202124"/>
          <w:shd w:val="clear" w:color="auto" w:fill="FFFFFF"/>
        </w:rPr>
        <w:t xml:space="preserve"> reinvigorated outreach efforts by actively </w:t>
      </w:r>
      <w:r w:rsidR="00DA1B39" w:rsidRPr="00940517">
        <w:rPr>
          <w:rFonts w:cs="Arial"/>
          <w:color w:val="202124"/>
          <w:shd w:val="clear" w:color="auto" w:fill="FFFFFF"/>
        </w:rPr>
        <w:t xml:space="preserve">posting </w:t>
      </w:r>
      <w:r w:rsidR="00594BE1" w:rsidRPr="00940517">
        <w:rPr>
          <w:rFonts w:cs="Arial"/>
          <w:color w:val="202124"/>
          <w:shd w:val="clear" w:color="auto" w:fill="FFFFFF"/>
        </w:rPr>
        <w:t xml:space="preserve">“tweets” </w:t>
      </w:r>
      <w:r w:rsidR="009219EA" w:rsidRPr="00940517">
        <w:rPr>
          <w:rFonts w:cs="Arial"/>
          <w:color w:val="202124"/>
          <w:shd w:val="clear" w:color="auto" w:fill="FFFFFF"/>
        </w:rPr>
        <w:t xml:space="preserve">again </w:t>
      </w:r>
      <w:r w:rsidR="00594BE1" w:rsidRPr="00940517">
        <w:rPr>
          <w:rFonts w:cs="Arial"/>
          <w:color w:val="202124"/>
          <w:shd w:val="clear" w:color="auto" w:fill="FFFFFF"/>
        </w:rPr>
        <w:t xml:space="preserve">through the </w:t>
      </w:r>
      <w:r w:rsidR="00224724" w:rsidRPr="00940517">
        <w:rPr>
          <w:rFonts w:cs="Arial"/>
          <w:color w:val="202124"/>
          <w:shd w:val="clear" w:color="auto" w:fill="FFFFFF"/>
        </w:rPr>
        <w:t>Dashboard Twitter handle @</w:t>
      </w:r>
      <w:proofErr w:type="spellStart"/>
      <w:r w:rsidR="00224724" w:rsidRPr="00940517">
        <w:rPr>
          <w:rFonts w:cs="Arial"/>
          <w:i/>
          <w:iCs/>
          <w:color w:val="202124"/>
          <w:shd w:val="clear" w:color="auto" w:fill="FFFFFF"/>
        </w:rPr>
        <w:t>CDEdashboard</w:t>
      </w:r>
      <w:proofErr w:type="spellEnd"/>
      <w:r w:rsidR="00224724" w:rsidRPr="00940517">
        <w:rPr>
          <w:rFonts w:cs="Arial"/>
          <w:color w:val="202124"/>
          <w:shd w:val="clear" w:color="auto" w:fill="FFFFFF"/>
        </w:rPr>
        <w:t xml:space="preserve">. </w:t>
      </w:r>
      <w:r w:rsidR="000A7862" w:rsidRPr="00940517">
        <w:rPr>
          <w:rFonts w:cs="Arial"/>
          <w:color w:val="202124"/>
          <w:shd w:val="clear" w:color="auto" w:fill="FFFFFF"/>
        </w:rPr>
        <w:t xml:space="preserve">With the 2021 releases of the Dashboard, DataQuest, and School Dashboard Additional Reports, the CDE </w:t>
      </w:r>
      <w:r w:rsidR="00B87586" w:rsidRPr="00940517">
        <w:rPr>
          <w:rFonts w:cs="Arial"/>
          <w:color w:val="202124"/>
          <w:shd w:val="clear" w:color="auto" w:fill="FFFFFF"/>
        </w:rPr>
        <w:t>will</w:t>
      </w:r>
      <w:r w:rsidR="000A7862" w:rsidRPr="00940517">
        <w:rPr>
          <w:rFonts w:cs="Arial"/>
          <w:color w:val="202124"/>
          <w:shd w:val="clear" w:color="auto" w:fill="FFFFFF"/>
        </w:rPr>
        <w:t xml:space="preserve"> post over 20 tweets to inform </w:t>
      </w:r>
      <w:r w:rsidR="00796579" w:rsidRPr="00940517">
        <w:rPr>
          <w:rFonts w:cs="Arial"/>
          <w:color w:val="202124"/>
          <w:shd w:val="clear" w:color="auto" w:fill="FFFFFF"/>
        </w:rPr>
        <w:t xml:space="preserve">viewers of </w:t>
      </w:r>
      <w:r w:rsidR="007E25A5" w:rsidRPr="00940517">
        <w:rPr>
          <w:rFonts w:cs="Arial"/>
          <w:color w:val="202124"/>
          <w:shd w:val="clear" w:color="auto" w:fill="FFFFFF"/>
        </w:rPr>
        <w:t xml:space="preserve">the </w:t>
      </w:r>
      <w:r w:rsidR="00C25FA7" w:rsidRPr="00940517">
        <w:rPr>
          <w:rFonts w:cs="Arial"/>
          <w:color w:val="202124"/>
          <w:shd w:val="clear" w:color="auto" w:fill="FFFFFF"/>
        </w:rPr>
        <w:t>broad</w:t>
      </w:r>
      <w:r w:rsidR="00F97034" w:rsidRPr="00940517">
        <w:rPr>
          <w:rFonts w:cs="Arial"/>
          <w:color w:val="202124"/>
          <w:shd w:val="clear" w:color="auto" w:fill="FFFFFF"/>
        </w:rPr>
        <w:t xml:space="preserve"> </w:t>
      </w:r>
      <w:r w:rsidR="008D1FCA" w:rsidRPr="00940517">
        <w:rPr>
          <w:rFonts w:cs="Arial"/>
          <w:color w:val="202124"/>
          <w:shd w:val="clear" w:color="auto" w:fill="FFFFFF"/>
        </w:rPr>
        <w:t xml:space="preserve">range of information and data that are </w:t>
      </w:r>
      <w:r w:rsidR="00C25FA7" w:rsidRPr="00940517">
        <w:rPr>
          <w:rFonts w:cs="Arial"/>
          <w:color w:val="202124"/>
          <w:shd w:val="clear" w:color="auto" w:fill="FFFFFF"/>
        </w:rPr>
        <w:t xml:space="preserve">readily </w:t>
      </w:r>
      <w:r w:rsidR="008D1FCA" w:rsidRPr="00940517">
        <w:rPr>
          <w:rFonts w:cs="Arial"/>
          <w:color w:val="202124"/>
          <w:shd w:val="clear" w:color="auto" w:fill="FFFFFF"/>
        </w:rPr>
        <w:t>available</w:t>
      </w:r>
      <w:r w:rsidR="00DA06E6" w:rsidRPr="00940517">
        <w:rPr>
          <w:rFonts w:cs="Arial"/>
          <w:color w:val="202124"/>
          <w:shd w:val="clear" w:color="auto" w:fill="FFFFFF"/>
        </w:rPr>
        <w:t>.</w:t>
      </w:r>
      <w:r w:rsidR="00B87586" w:rsidRPr="00940517">
        <w:rPr>
          <w:rFonts w:cs="Arial"/>
          <w:color w:val="202124"/>
          <w:shd w:val="clear" w:color="auto" w:fill="FFFFFF"/>
        </w:rPr>
        <w:t xml:space="preserve"> </w:t>
      </w:r>
      <w:r w:rsidR="003D774B" w:rsidRPr="00940517">
        <w:rPr>
          <w:rFonts w:eastAsia="Arial" w:cs="Arial"/>
        </w:rPr>
        <w:t xml:space="preserve">As we look </w:t>
      </w:r>
      <w:r w:rsidR="000B4729" w:rsidRPr="00940517">
        <w:rPr>
          <w:rFonts w:eastAsia="Arial" w:cs="Arial"/>
        </w:rPr>
        <w:t xml:space="preserve">forward to future </w:t>
      </w:r>
      <w:r w:rsidR="00B87586" w:rsidRPr="00940517">
        <w:rPr>
          <w:rFonts w:eastAsia="Arial" w:cs="Arial"/>
        </w:rPr>
        <w:t>reporting</w:t>
      </w:r>
      <w:r w:rsidR="005C11E0" w:rsidRPr="00940517">
        <w:rPr>
          <w:rFonts w:eastAsia="Arial" w:cs="Arial"/>
        </w:rPr>
        <w:t xml:space="preserve">, </w:t>
      </w:r>
      <w:r w:rsidR="00995EE7" w:rsidRPr="00940517">
        <w:rPr>
          <w:rFonts w:eastAsia="Arial" w:cs="Arial"/>
        </w:rPr>
        <w:t xml:space="preserve">the CDE will </w:t>
      </w:r>
      <w:r w:rsidR="008924A9" w:rsidRPr="00940517">
        <w:rPr>
          <w:rFonts w:eastAsia="Arial" w:cs="Arial"/>
        </w:rPr>
        <w:t>continue to use</w:t>
      </w:r>
      <w:r w:rsidR="008018E1" w:rsidRPr="00940517">
        <w:rPr>
          <w:rFonts w:eastAsia="Arial" w:cs="Arial"/>
        </w:rPr>
        <w:t xml:space="preserve"> this social media tool as an effective </w:t>
      </w:r>
      <w:r w:rsidR="00474DCE" w:rsidRPr="00940517">
        <w:rPr>
          <w:rFonts w:eastAsia="Arial" w:cs="Arial"/>
        </w:rPr>
        <w:t>communication method</w:t>
      </w:r>
      <w:r w:rsidR="007E25A5" w:rsidRPr="00940517">
        <w:rPr>
          <w:rFonts w:eastAsia="Arial" w:cs="Arial"/>
        </w:rPr>
        <w:t xml:space="preserve"> to announce resources, reports, and updates</w:t>
      </w:r>
      <w:r w:rsidR="00474DCE" w:rsidRPr="00940517">
        <w:rPr>
          <w:rFonts w:eastAsia="Arial" w:cs="Arial"/>
        </w:rPr>
        <w:t>.</w:t>
      </w:r>
    </w:p>
    <w:p w14:paraId="06631DD3" w14:textId="3D27F1FE" w:rsidR="00262FEB" w:rsidRPr="00940517" w:rsidRDefault="00262FEB" w:rsidP="00BF5AC3">
      <w:pPr>
        <w:pStyle w:val="Heading3"/>
      </w:pPr>
      <w:r w:rsidRPr="00940517">
        <w:t>Next Steps</w:t>
      </w:r>
    </w:p>
    <w:p w14:paraId="1B8EC085" w14:textId="30C4EE67" w:rsidR="004D5F07" w:rsidRPr="00940517" w:rsidRDefault="00C002B6" w:rsidP="004D5F07">
      <w:pPr>
        <w:rPr>
          <w:rFonts w:eastAsia="Arial" w:cs="Arial"/>
        </w:rPr>
      </w:pPr>
      <w:r w:rsidRPr="00940517">
        <w:rPr>
          <w:rFonts w:eastAsia="Arial" w:cs="Arial"/>
        </w:rPr>
        <w:t xml:space="preserve">The CDE will monitor the progress </w:t>
      </w:r>
      <w:r w:rsidR="00FF3EA1" w:rsidRPr="00940517">
        <w:rPr>
          <w:rFonts w:eastAsia="Arial" w:cs="Arial"/>
        </w:rPr>
        <w:t xml:space="preserve">of </w:t>
      </w:r>
      <w:r w:rsidRPr="00940517">
        <w:rPr>
          <w:rFonts w:eastAsia="Arial" w:cs="Arial"/>
        </w:rPr>
        <w:t xml:space="preserve">the </w:t>
      </w:r>
      <w:r w:rsidR="00FF3EA1" w:rsidRPr="00940517">
        <w:rPr>
          <w:rFonts w:eastAsia="Arial" w:cs="Arial"/>
        </w:rPr>
        <w:t>COVID-19 State Plan Addendum and wavier related to the DASS program and provide updates as needed to the SBE on the impact of these issues to the Dashboard.</w:t>
      </w:r>
    </w:p>
    <w:p w14:paraId="6B560929" w14:textId="239B656D" w:rsidR="004D5F07" w:rsidRPr="00940517" w:rsidRDefault="004D5F07" w:rsidP="004D5F07">
      <w:pPr>
        <w:rPr>
          <w:rFonts w:eastAsia="Arial" w:cs="Arial"/>
        </w:rPr>
        <w:sectPr w:rsidR="004D5F07" w:rsidRPr="00940517" w:rsidSect="00744056">
          <w:headerReference w:type="default" r:id="rId140"/>
          <w:headerReference w:type="first" r:id="rId141"/>
          <w:footerReference w:type="first" r:id="rId142"/>
          <w:pgSz w:w="12240" w:h="15840"/>
          <w:pgMar w:top="720" w:right="1440" w:bottom="1440" w:left="1440" w:header="720" w:footer="720" w:gutter="0"/>
          <w:pgNumType w:start="1"/>
          <w:cols w:space="720"/>
          <w:docGrid w:linePitch="360"/>
        </w:sectPr>
      </w:pPr>
    </w:p>
    <w:p w14:paraId="5F88BD6D" w14:textId="3F037A58" w:rsidR="006F6D12" w:rsidRPr="00940517" w:rsidRDefault="006F6D12" w:rsidP="00014846">
      <w:pPr>
        <w:pStyle w:val="Heading2"/>
      </w:pPr>
      <w:r w:rsidRPr="00940517">
        <w:lastRenderedPageBreak/>
        <w:t xml:space="preserve">Attachment </w:t>
      </w:r>
      <w:r w:rsidR="005C09B7" w:rsidRPr="00940517">
        <w:t>2</w:t>
      </w:r>
    </w:p>
    <w:p w14:paraId="1BD7F895" w14:textId="77777777" w:rsidR="006F6D12" w:rsidRPr="00940517" w:rsidRDefault="006F6D12" w:rsidP="00A37649">
      <w:pPr>
        <w:pStyle w:val="Heading3"/>
      </w:pPr>
      <w:r w:rsidRPr="00940517">
        <w:t>California School Dashboard Educational Outreach Activities</w:t>
      </w:r>
    </w:p>
    <w:p w14:paraId="2DAE5CC7" w14:textId="359FA95C" w:rsidR="006F6D12" w:rsidRPr="00940517" w:rsidRDefault="006F6D12" w:rsidP="001C57C2">
      <w:pPr>
        <w:pStyle w:val="Heading4"/>
      </w:pPr>
      <w:r w:rsidRPr="00940517">
        <w:t>Table 1</w:t>
      </w:r>
      <w:r w:rsidR="00315BEC" w:rsidRPr="00940517">
        <w:t xml:space="preserve">: </w:t>
      </w:r>
      <w:r w:rsidRPr="00940517">
        <w:t>California Department of Education Policy Work Group Meetings</w:t>
      </w:r>
    </w:p>
    <w:tbl>
      <w:tblPr>
        <w:tblStyle w:val="TableGrid"/>
        <w:tblW w:w="4999" w:type="pct"/>
        <w:tblLook w:val="04A0" w:firstRow="1" w:lastRow="0" w:firstColumn="1" w:lastColumn="0" w:noHBand="0" w:noVBand="1"/>
        <w:tblCaption w:val="Table 1. California Department of Education Policy Work Group Meetings"/>
        <w:tblDescription w:val="This table shows the topics covered in the Technical Design Group meetings in 2021."/>
      </w:tblPr>
      <w:tblGrid>
        <w:gridCol w:w="1616"/>
        <w:gridCol w:w="2879"/>
        <w:gridCol w:w="2250"/>
        <w:gridCol w:w="6202"/>
      </w:tblGrid>
      <w:tr w:rsidR="006F6D12" w:rsidRPr="00940517" w14:paraId="172B2B51" w14:textId="77777777" w:rsidTr="0E36A200">
        <w:trPr>
          <w:cantSplit/>
          <w:tblHeader/>
        </w:trPr>
        <w:tc>
          <w:tcPr>
            <w:tcW w:w="6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9FB38F" w14:textId="77777777" w:rsidR="006F6D12" w:rsidRPr="00940517" w:rsidRDefault="006F6D12" w:rsidP="00006EC2">
            <w:pPr>
              <w:jc w:val="center"/>
              <w:rPr>
                <w:rFonts w:cs="Arial"/>
                <w:b/>
              </w:rPr>
            </w:pPr>
            <w:r w:rsidRPr="00940517">
              <w:rPr>
                <w:rFonts w:cs="Arial"/>
                <w:b/>
              </w:rPr>
              <w:t>Date</w:t>
            </w:r>
          </w:p>
        </w:tc>
        <w:tc>
          <w:tcPr>
            <w:tcW w:w="11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B82D72" w14:textId="77777777" w:rsidR="006F6D12" w:rsidRPr="00940517" w:rsidRDefault="006F6D12" w:rsidP="00006EC2">
            <w:pPr>
              <w:jc w:val="center"/>
              <w:rPr>
                <w:rFonts w:cs="Arial"/>
                <w:b/>
              </w:rPr>
            </w:pPr>
            <w:r w:rsidRPr="00940517">
              <w:rPr>
                <w:rFonts w:cs="Arial"/>
                <w:b/>
              </w:rPr>
              <w:t>Title</w:t>
            </w:r>
          </w:p>
        </w:tc>
        <w:tc>
          <w:tcPr>
            <w:tcW w:w="8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B4469B" w14:textId="77777777" w:rsidR="006F6D12" w:rsidRPr="00940517" w:rsidRDefault="006F6D12" w:rsidP="00006EC2">
            <w:pPr>
              <w:jc w:val="center"/>
              <w:rPr>
                <w:rFonts w:cs="Arial"/>
                <w:b/>
              </w:rPr>
            </w:pPr>
            <w:r w:rsidRPr="00940517">
              <w:rPr>
                <w:rFonts w:cs="Arial"/>
                <w:b/>
              </w:rPr>
              <w:t>Estimated Number of Attendees</w:t>
            </w:r>
          </w:p>
        </w:tc>
        <w:tc>
          <w:tcPr>
            <w:tcW w:w="23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2057A22" w14:textId="77777777" w:rsidR="006F6D12" w:rsidRPr="00940517" w:rsidRDefault="006F6D12" w:rsidP="00006EC2">
            <w:pPr>
              <w:jc w:val="center"/>
              <w:rPr>
                <w:rFonts w:cs="Arial"/>
                <w:b/>
              </w:rPr>
            </w:pPr>
            <w:r w:rsidRPr="00940517">
              <w:rPr>
                <w:rFonts w:cs="Arial"/>
                <w:b/>
              </w:rPr>
              <w:t>Topics</w:t>
            </w:r>
          </w:p>
        </w:tc>
      </w:tr>
      <w:tr w:rsidR="002C645C" w:rsidRPr="00940517" w14:paraId="1477A9E5" w14:textId="77777777" w:rsidTr="0E36A200">
        <w:trPr>
          <w:cantSplit/>
        </w:trPr>
        <w:tc>
          <w:tcPr>
            <w:tcW w:w="624" w:type="pct"/>
            <w:tcBorders>
              <w:top w:val="single" w:sz="4" w:space="0" w:color="auto"/>
              <w:left w:val="single" w:sz="4" w:space="0" w:color="auto"/>
              <w:bottom w:val="single" w:sz="4" w:space="0" w:color="auto"/>
              <w:right w:val="single" w:sz="4" w:space="0" w:color="auto"/>
            </w:tcBorders>
            <w:vAlign w:val="center"/>
          </w:tcPr>
          <w:p w14:paraId="7C3286BF" w14:textId="05789A78" w:rsidR="002C645C" w:rsidRPr="00940517" w:rsidRDefault="002C645C" w:rsidP="002C645C">
            <w:pPr>
              <w:jc w:val="center"/>
              <w:rPr>
                <w:rFonts w:eastAsiaTheme="minorHAnsi" w:cs="Arial"/>
              </w:rPr>
            </w:pPr>
            <w:r w:rsidRPr="00940517">
              <w:rPr>
                <w:rFonts w:eastAsiaTheme="minorHAnsi" w:cs="Arial"/>
              </w:rPr>
              <w:t>April 15, 2021</w:t>
            </w:r>
          </w:p>
        </w:tc>
        <w:tc>
          <w:tcPr>
            <w:tcW w:w="1112" w:type="pct"/>
            <w:tcBorders>
              <w:top w:val="single" w:sz="4" w:space="0" w:color="auto"/>
              <w:left w:val="single" w:sz="4" w:space="0" w:color="auto"/>
              <w:bottom w:val="single" w:sz="4" w:space="0" w:color="auto"/>
              <w:right w:val="single" w:sz="4" w:space="0" w:color="auto"/>
            </w:tcBorders>
            <w:vAlign w:val="center"/>
          </w:tcPr>
          <w:p w14:paraId="39684293" w14:textId="5E8DDB6C" w:rsidR="002C645C" w:rsidRPr="00940517" w:rsidRDefault="002C645C" w:rsidP="002C645C">
            <w:pPr>
              <w:jc w:val="center"/>
              <w:rPr>
                <w:rFonts w:eastAsiaTheme="minorHAnsi" w:cs="Arial"/>
              </w:rPr>
            </w:pPr>
            <w:r w:rsidRPr="00940517">
              <w:rPr>
                <w:rFonts w:eastAsiaTheme="minorHAnsi" w:cs="Arial"/>
              </w:rPr>
              <w:t>Technical Design Group</w:t>
            </w:r>
          </w:p>
        </w:tc>
        <w:tc>
          <w:tcPr>
            <w:tcW w:w="869" w:type="pct"/>
            <w:tcBorders>
              <w:top w:val="single" w:sz="4" w:space="0" w:color="auto"/>
              <w:left w:val="single" w:sz="4" w:space="0" w:color="auto"/>
              <w:bottom w:val="single" w:sz="4" w:space="0" w:color="auto"/>
              <w:right w:val="single" w:sz="4" w:space="0" w:color="auto"/>
            </w:tcBorders>
            <w:vAlign w:val="center"/>
          </w:tcPr>
          <w:p w14:paraId="6FCEDE89" w14:textId="23F8C06F" w:rsidR="002C645C" w:rsidRPr="00940517" w:rsidRDefault="002C645C" w:rsidP="002C645C">
            <w:pPr>
              <w:jc w:val="center"/>
              <w:rPr>
                <w:rFonts w:eastAsiaTheme="minorEastAsia" w:cs="Arial"/>
              </w:rPr>
            </w:pPr>
            <w:r w:rsidRPr="00940517">
              <w:rPr>
                <w:rFonts w:eastAsiaTheme="minorEastAsia" w:cs="Arial"/>
              </w:rPr>
              <w:t>8</w:t>
            </w:r>
          </w:p>
        </w:tc>
        <w:tc>
          <w:tcPr>
            <w:tcW w:w="2395" w:type="pct"/>
            <w:tcBorders>
              <w:top w:val="single" w:sz="4" w:space="0" w:color="auto"/>
              <w:left w:val="single" w:sz="4" w:space="0" w:color="auto"/>
              <w:bottom w:val="single" w:sz="4" w:space="0" w:color="auto"/>
              <w:right w:val="single" w:sz="4" w:space="0" w:color="auto"/>
            </w:tcBorders>
            <w:vAlign w:val="center"/>
          </w:tcPr>
          <w:p w14:paraId="12D54731" w14:textId="68030DB8" w:rsidR="002C645C" w:rsidRPr="00940517" w:rsidRDefault="002C645C" w:rsidP="00F13890">
            <w:pPr>
              <w:pStyle w:val="ListParagraph"/>
              <w:numPr>
                <w:ilvl w:val="0"/>
                <w:numId w:val="2"/>
              </w:numPr>
              <w:rPr>
                <w:rFonts w:eastAsiaTheme="minorHAnsi" w:cs="Arial"/>
              </w:rPr>
            </w:pPr>
            <w:r w:rsidRPr="00940517">
              <w:rPr>
                <w:rFonts w:eastAsiaTheme="minorHAnsi" w:cs="Arial"/>
              </w:rPr>
              <w:t>Accountability Waiver Request to U.S. Department of Education</w:t>
            </w:r>
          </w:p>
          <w:p w14:paraId="1B18D322" w14:textId="13DF7B2A" w:rsidR="002C645C" w:rsidRPr="00940517" w:rsidRDefault="002C645C" w:rsidP="00F13890">
            <w:pPr>
              <w:pStyle w:val="ListParagraph"/>
              <w:numPr>
                <w:ilvl w:val="0"/>
                <w:numId w:val="2"/>
              </w:numPr>
              <w:rPr>
                <w:rFonts w:eastAsiaTheme="minorHAnsi" w:cs="Arial"/>
              </w:rPr>
            </w:pPr>
            <w:r w:rsidRPr="00940517">
              <w:rPr>
                <w:rFonts w:eastAsiaTheme="minorHAnsi" w:cs="Arial"/>
              </w:rPr>
              <w:t>Future Dashboard Reporting and Modified 2021 Dashboard Report</w:t>
            </w:r>
          </w:p>
          <w:p w14:paraId="3C780931" w14:textId="77777777" w:rsidR="002C645C" w:rsidRPr="00940517" w:rsidRDefault="002C645C" w:rsidP="00F13890">
            <w:pPr>
              <w:pStyle w:val="ListParagraph"/>
              <w:numPr>
                <w:ilvl w:val="0"/>
                <w:numId w:val="2"/>
              </w:numPr>
              <w:rPr>
                <w:rFonts w:eastAsiaTheme="minorHAnsi" w:cs="Arial"/>
              </w:rPr>
            </w:pPr>
            <w:r w:rsidRPr="00940517">
              <w:rPr>
                <w:rFonts w:eastAsiaTheme="minorHAnsi" w:cs="Arial"/>
              </w:rPr>
              <w:t xml:space="preserve">Reporting for 2020-21 </w:t>
            </w:r>
          </w:p>
          <w:p w14:paraId="1CF2D637" w14:textId="1D6EBDE7" w:rsidR="002C645C" w:rsidRPr="00940517" w:rsidRDefault="002C645C" w:rsidP="00F13890">
            <w:pPr>
              <w:pStyle w:val="ListParagraph"/>
              <w:numPr>
                <w:ilvl w:val="0"/>
                <w:numId w:val="2"/>
              </w:numPr>
              <w:rPr>
                <w:rFonts w:eastAsiaTheme="minorHAnsi" w:cs="Arial"/>
              </w:rPr>
            </w:pPr>
            <w:r w:rsidRPr="00940517">
              <w:rPr>
                <w:rFonts w:eastAsiaTheme="minorHAnsi" w:cs="Arial"/>
              </w:rPr>
              <w:t>Modified Dashboard Report </w:t>
            </w:r>
          </w:p>
          <w:p w14:paraId="2B10BA79" w14:textId="2A4E8D1A" w:rsidR="002C645C" w:rsidRPr="00940517" w:rsidRDefault="002C645C" w:rsidP="00F13890">
            <w:pPr>
              <w:pStyle w:val="ListParagraph"/>
              <w:numPr>
                <w:ilvl w:val="0"/>
                <w:numId w:val="2"/>
              </w:numPr>
              <w:rPr>
                <w:rFonts w:eastAsiaTheme="minorHAnsi" w:cs="Arial"/>
              </w:rPr>
            </w:pPr>
            <w:r w:rsidRPr="00940517">
              <w:rPr>
                <w:rFonts w:eastAsiaTheme="minorHAnsi" w:cs="Arial"/>
              </w:rPr>
              <w:t xml:space="preserve">Student Growth Model </w:t>
            </w:r>
          </w:p>
          <w:p w14:paraId="6E3C2581" w14:textId="5D7D4861" w:rsidR="002C645C" w:rsidRPr="00940517" w:rsidRDefault="002C645C" w:rsidP="00F13890">
            <w:pPr>
              <w:pStyle w:val="ListParagraph"/>
              <w:numPr>
                <w:ilvl w:val="0"/>
                <w:numId w:val="2"/>
              </w:numPr>
              <w:rPr>
                <w:rFonts w:eastAsiaTheme="minorHAnsi" w:cs="Arial"/>
              </w:rPr>
            </w:pPr>
            <w:r w:rsidRPr="00940517">
              <w:rPr>
                <w:rFonts w:eastAsiaTheme="minorHAnsi" w:cs="Arial"/>
              </w:rPr>
              <w:t>Reporting Growth Results with English Language Proficiency Assessments for California (ELPAC) Performance Levels</w:t>
            </w:r>
          </w:p>
        </w:tc>
      </w:tr>
      <w:tr w:rsidR="780A6C06" w:rsidRPr="00940517" w14:paraId="435411D3" w14:textId="77777777" w:rsidTr="0E36A200">
        <w:trPr>
          <w:cantSplit/>
        </w:trPr>
        <w:tc>
          <w:tcPr>
            <w:tcW w:w="624" w:type="pct"/>
            <w:tcBorders>
              <w:top w:val="single" w:sz="4" w:space="0" w:color="auto"/>
              <w:left w:val="single" w:sz="4" w:space="0" w:color="auto"/>
              <w:bottom w:val="single" w:sz="4" w:space="0" w:color="auto"/>
              <w:right w:val="single" w:sz="4" w:space="0" w:color="auto"/>
            </w:tcBorders>
            <w:vAlign w:val="center"/>
          </w:tcPr>
          <w:p w14:paraId="2CCC021B" w14:textId="5D60EB74" w:rsidR="6A0852C8" w:rsidRPr="00940517" w:rsidRDefault="6A0852C8" w:rsidP="780A6C06">
            <w:pPr>
              <w:jc w:val="center"/>
              <w:rPr>
                <w:rFonts w:eastAsiaTheme="minorEastAsia" w:cs="Arial"/>
              </w:rPr>
            </w:pPr>
            <w:r w:rsidRPr="00940517">
              <w:rPr>
                <w:rFonts w:eastAsiaTheme="minorEastAsia" w:cs="Arial"/>
              </w:rPr>
              <w:t>June 16, 2021</w:t>
            </w:r>
          </w:p>
        </w:tc>
        <w:tc>
          <w:tcPr>
            <w:tcW w:w="1112" w:type="pct"/>
            <w:tcBorders>
              <w:top w:val="single" w:sz="4" w:space="0" w:color="auto"/>
              <w:left w:val="single" w:sz="4" w:space="0" w:color="auto"/>
              <w:bottom w:val="single" w:sz="4" w:space="0" w:color="auto"/>
              <w:right w:val="single" w:sz="4" w:space="0" w:color="auto"/>
            </w:tcBorders>
            <w:vAlign w:val="center"/>
          </w:tcPr>
          <w:p w14:paraId="3F4C8A69" w14:textId="68B46C93" w:rsidR="6A0852C8" w:rsidRPr="00940517" w:rsidRDefault="6A0852C8" w:rsidP="780A6C06">
            <w:pPr>
              <w:jc w:val="center"/>
              <w:rPr>
                <w:rFonts w:eastAsiaTheme="minorEastAsia" w:cs="Arial"/>
              </w:rPr>
            </w:pPr>
            <w:r w:rsidRPr="00940517">
              <w:rPr>
                <w:rFonts w:eastAsiaTheme="minorEastAsia" w:cs="Arial"/>
              </w:rPr>
              <w:t>E</w:t>
            </w:r>
            <w:r w:rsidR="004439FA" w:rsidRPr="00940517">
              <w:rPr>
                <w:rFonts w:eastAsiaTheme="minorEastAsia" w:cs="Arial"/>
              </w:rPr>
              <w:t xml:space="preserve">nglish </w:t>
            </w:r>
            <w:r w:rsidRPr="00940517">
              <w:rPr>
                <w:rFonts w:eastAsiaTheme="minorEastAsia" w:cs="Arial"/>
              </w:rPr>
              <w:t>L</w:t>
            </w:r>
            <w:r w:rsidR="004439FA" w:rsidRPr="00940517">
              <w:rPr>
                <w:rFonts w:eastAsiaTheme="minorEastAsia" w:cs="Arial"/>
              </w:rPr>
              <w:t xml:space="preserve">earner </w:t>
            </w:r>
            <w:r w:rsidRPr="00940517">
              <w:rPr>
                <w:rFonts w:eastAsiaTheme="minorEastAsia" w:cs="Arial"/>
              </w:rPr>
              <w:t>P</w:t>
            </w:r>
            <w:r w:rsidR="004439FA" w:rsidRPr="00940517">
              <w:rPr>
                <w:rFonts w:eastAsiaTheme="minorEastAsia" w:cs="Arial"/>
              </w:rPr>
              <w:t xml:space="preserve">rogress </w:t>
            </w:r>
            <w:r w:rsidRPr="00940517">
              <w:rPr>
                <w:rFonts w:eastAsiaTheme="minorEastAsia" w:cs="Arial"/>
              </w:rPr>
              <w:t>I</w:t>
            </w:r>
            <w:r w:rsidR="004439FA" w:rsidRPr="00940517">
              <w:rPr>
                <w:rFonts w:eastAsiaTheme="minorEastAsia" w:cs="Arial"/>
              </w:rPr>
              <w:t>ndicator (ELPI)</w:t>
            </w:r>
            <w:r w:rsidRPr="00940517">
              <w:rPr>
                <w:rFonts w:eastAsiaTheme="minorEastAsia" w:cs="Arial"/>
              </w:rPr>
              <w:t xml:space="preserve"> Workgroup Meeting</w:t>
            </w:r>
          </w:p>
        </w:tc>
        <w:tc>
          <w:tcPr>
            <w:tcW w:w="869" w:type="pct"/>
            <w:tcBorders>
              <w:top w:val="single" w:sz="4" w:space="0" w:color="auto"/>
              <w:left w:val="single" w:sz="4" w:space="0" w:color="auto"/>
              <w:bottom w:val="single" w:sz="4" w:space="0" w:color="auto"/>
              <w:right w:val="single" w:sz="4" w:space="0" w:color="auto"/>
            </w:tcBorders>
            <w:vAlign w:val="center"/>
          </w:tcPr>
          <w:p w14:paraId="07757CFF" w14:textId="4CFC81FA" w:rsidR="6A0852C8" w:rsidRPr="00940517" w:rsidRDefault="6A0852C8" w:rsidP="780A6C06">
            <w:pPr>
              <w:jc w:val="center"/>
              <w:rPr>
                <w:rFonts w:eastAsiaTheme="minorEastAsia" w:cs="Arial"/>
              </w:rPr>
            </w:pPr>
            <w:r w:rsidRPr="00940517">
              <w:rPr>
                <w:rFonts w:eastAsiaTheme="minorEastAsia" w:cs="Arial"/>
              </w:rPr>
              <w:t>36</w:t>
            </w:r>
          </w:p>
        </w:tc>
        <w:tc>
          <w:tcPr>
            <w:tcW w:w="2395" w:type="pct"/>
            <w:tcBorders>
              <w:top w:val="single" w:sz="4" w:space="0" w:color="auto"/>
              <w:left w:val="single" w:sz="4" w:space="0" w:color="auto"/>
              <w:bottom w:val="single" w:sz="4" w:space="0" w:color="auto"/>
              <w:right w:val="single" w:sz="4" w:space="0" w:color="auto"/>
            </w:tcBorders>
            <w:vAlign w:val="center"/>
          </w:tcPr>
          <w:p w14:paraId="552B477E" w14:textId="6B319F6A" w:rsidR="6A0852C8" w:rsidRPr="00940517" w:rsidRDefault="6A0852C8" w:rsidP="00F13890">
            <w:pPr>
              <w:pStyle w:val="ListParagraph"/>
              <w:numPr>
                <w:ilvl w:val="0"/>
                <w:numId w:val="2"/>
              </w:numPr>
              <w:rPr>
                <w:rFonts w:asciiTheme="minorHAnsi" w:eastAsiaTheme="minorEastAsia" w:hAnsiTheme="minorHAnsi" w:cstheme="minorBidi"/>
                <w:color w:val="000000" w:themeColor="text1"/>
              </w:rPr>
            </w:pPr>
            <w:r w:rsidRPr="00940517">
              <w:rPr>
                <w:rFonts w:eastAsia="Arial" w:cs="Arial"/>
                <w:color w:val="000000" w:themeColor="text1"/>
              </w:rPr>
              <w:t>2020–21 E</w:t>
            </w:r>
            <w:r w:rsidR="00150E61" w:rsidRPr="00940517">
              <w:rPr>
                <w:rFonts w:eastAsia="Arial" w:cs="Arial"/>
                <w:color w:val="000000" w:themeColor="text1"/>
              </w:rPr>
              <w:t xml:space="preserve">nglish </w:t>
            </w:r>
            <w:r w:rsidRPr="00940517">
              <w:rPr>
                <w:rFonts w:eastAsia="Arial" w:cs="Arial"/>
                <w:color w:val="000000" w:themeColor="text1"/>
              </w:rPr>
              <w:t>L</w:t>
            </w:r>
            <w:r w:rsidR="00150E61" w:rsidRPr="00940517">
              <w:rPr>
                <w:rFonts w:eastAsia="Arial" w:cs="Arial"/>
                <w:color w:val="000000" w:themeColor="text1"/>
              </w:rPr>
              <w:t>earner</w:t>
            </w:r>
            <w:r w:rsidRPr="00940517">
              <w:rPr>
                <w:rFonts w:eastAsia="Arial" w:cs="Arial"/>
                <w:color w:val="000000" w:themeColor="text1"/>
              </w:rPr>
              <w:t xml:space="preserve"> Reports on DataQuest </w:t>
            </w:r>
          </w:p>
          <w:p w14:paraId="1F6D6032" w14:textId="70F4E5A6" w:rsidR="6A0852C8" w:rsidRPr="00940517" w:rsidRDefault="6A0852C8" w:rsidP="00F13890">
            <w:pPr>
              <w:pStyle w:val="ListParagraph"/>
              <w:numPr>
                <w:ilvl w:val="0"/>
                <w:numId w:val="2"/>
              </w:numPr>
              <w:rPr>
                <w:rFonts w:asciiTheme="minorHAnsi" w:eastAsiaTheme="minorEastAsia" w:hAnsiTheme="minorHAnsi" w:cstheme="minorBidi"/>
                <w:color w:val="000000" w:themeColor="text1"/>
              </w:rPr>
            </w:pPr>
            <w:r w:rsidRPr="00940517">
              <w:rPr>
                <w:rFonts w:eastAsia="Arial" w:cs="Arial"/>
                <w:color w:val="000000" w:themeColor="text1"/>
              </w:rPr>
              <w:t>Growth Model and Accountability Update</w:t>
            </w:r>
          </w:p>
          <w:p w14:paraId="259B6EC4" w14:textId="69E7A86B" w:rsidR="6A0852C8" w:rsidRPr="00940517" w:rsidRDefault="6A0852C8" w:rsidP="00F13890">
            <w:pPr>
              <w:pStyle w:val="ListParagraph"/>
              <w:numPr>
                <w:ilvl w:val="0"/>
                <w:numId w:val="2"/>
              </w:numPr>
              <w:rPr>
                <w:rFonts w:asciiTheme="minorHAnsi" w:eastAsiaTheme="minorEastAsia" w:hAnsiTheme="minorHAnsi" w:cstheme="minorBidi"/>
                <w:color w:val="000000" w:themeColor="text1"/>
              </w:rPr>
            </w:pPr>
            <w:r w:rsidRPr="00940517">
              <w:rPr>
                <w:rFonts w:eastAsia="Arial" w:cs="Arial"/>
                <w:color w:val="000000" w:themeColor="text1"/>
              </w:rPr>
              <w:t>Supporting English Learners through California’s System of Support</w:t>
            </w:r>
          </w:p>
          <w:p w14:paraId="5502BB6A" w14:textId="50FA3FD2" w:rsidR="6A0852C8" w:rsidRPr="00940517" w:rsidRDefault="6A0852C8" w:rsidP="00F13890">
            <w:pPr>
              <w:pStyle w:val="ListParagraph"/>
              <w:numPr>
                <w:ilvl w:val="0"/>
                <w:numId w:val="2"/>
              </w:numPr>
              <w:rPr>
                <w:rFonts w:asciiTheme="minorHAnsi" w:eastAsiaTheme="minorEastAsia" w:hAnsiTheme="minorHAnsi" w:cstheme="minorBidi"/>
                <w:color w:val="000000" w:themeColor="text1"/>
              </w:rPr>
            </w:pPr>
            <w:r w:rsidRPr="00940517">
              <w:rPr>
                <w:rFonts w:eastAsia="Arial" w:cs="Arial"/>
                <w:color w:val="000000" w:themeColor="text1"/>
              </w:rPr>
              <w:t>San Diego County Office of Education Best Practices during COVID-19</w:t>
            </w:r>
          </w:p>
          <w:p w14:paraId="51E462E4" w14:textId="12174BA0" w:rsidR="6A0852C8" w:rsidRPr="00940517" w:rsidRDefault="6A0852C8" w:rsidP="00F13890">
            <w:pPr>
              <w:pStyle w:val="ListParagraph"/>
              <w:numPr>
                <w:ilvl w:val="0"/>
                <w:numId w:val="2"/>
              </w:numPr>
              <w:rPr>
                <w:rFonts w:asciiTheme="minorHAnsi" w:eastAsiaTheme="minorEastAsia" w:hAnsiTheme="minorHAnsi" w:cstheme="minorBidi"/>
                <w:color w:val="000000" w:themeColor="text1"/>
              </w:rPr>
            </w:pPr>
            <w:r w:rsidRPr="00940517">
              <w:rPr>
                <w:rFonts w:eastAsia="Arial" w:cs="Arial"/>
                <w:color w:val="000000" w:themeColor="text1"/>
              </w:rPr>
              <w:t>ELPAC Update</w:t>
            </w:r>
          </w:p>
          <w:p w14:paraId="3F0C1C9C" w14:textId="2235DFE5" w:rsidR="6A0852C8" w:rsidRPr="00940517" w:rsidRDefault="6A0852C8" w:rsidP="00F13890">
            <w:pPr>
              <w:pStyle w:val="ListParagraph"/>
              <w:numPr>
                <w:ilvl w:val="0"/>
                <w:numId w:val="2"/>
              </w:numPr>
              <w:rPr>
                <w:rFonts w:asciiTheme="minorHAnsi" w:eastAsiaTheme="minorEastAsia" w:hAnsiTheme="minorHAnsi" w:cstheme="minorBidi"/>
                <w:color w:val="000000" w:themeColor="text1"/>
              </w:rPr>
            </w:pPr>
            <w:r w:rsidRPr="00940517">
              <w:rPr>
                <w:rFonts w:eastAsia="Arial" w:cs="Arial"/>
                <w:color w:val="000000" w:themeColor="text1"/>
              </w:rPr>
              <w:t>Next Steps and Questions</w:t>
            </w:r>
          </w:p>
        </w:tc>
      </w:tr>
      <w:tr w:rsidR="00A73E64" w:rsidRPr="00940517" w14:paraId="71179D70" w14:textId="77777777" w:rsidTr="0E36A200">
        <w:trPr>
          <w:cantSplit/>
        </w:trPr>
        <w:tc>
          <w:tcPr>
            <w:tcW w:w="624" w:type="pct"/>
            <w:tcBorders>
              <w:top w:val="single" w:sz="4" w:space="0" w:color="auto"/>
              <w:left w:val="single" w:sz="4" w:space="0" w:color="auto"/>
              <w:bottom w:val="single" w:sz="4" w:space="0" w:color="auto"/>
              <w:right w:val="single" w:sz="4" w:space="0" w:color="auto"/>
            </w:tcBorders>
            <w:vAlign w:val="center"/>
          </w:tcPr>
          <w:p w14:paraId="52F986E7" w14:textId="39479534" w:rsidR="00A73E64" w:rsidRPr="00940517" w:rsidRDefault="00A73E64" w:rsidP="002C645C">
            <w:pPr>
              <w:jc w:val="center"/>
              <w:rPr>
                <w:rFonts w:eastAsiaTheme="minorHAnsi" w:cs="Arial"/>
              </w:rPr>
            </w:pPr>
            <w:r w:rsidRPr="00940517">
              <w:rPr>
                <w:rFonts w:eastAsiaTheme="minorHAnsi" w:cs="Arial"/>
              </w:rPr>
              <w:t>May 25, 2021</w:t>
            </w:r>
          </w:p>
        </w:tc>
        <w:tc>
          <w:tcPr>
            <w:tcW w:w="1112" w:type="pct"/>
            <w:tcBorders>
              <w:top w:val="single" w:sz="4" w:space="0" w:color="auto"/>
              <w:left w:val="single" w:sz="4" w:space="0" w:color="auto"/>
              <w:bottom w:val="single" w:sz="4" w:space="0" w:color="auto"/>
              <w:right w:val="single" w:sz="4" w:space="0" w:color="auto"/>
            </w:tcBorders>
            <w:vAlign w:val="center"/>
          </w:tcPr>
          <w:p w14:paraId="49B921B6" w14:textId="459FD5DD" w:rsidR="00A73E64" w:rsidRPr="00940517" w:rsidRDefault="00A73E64" w:rsidP="002C645C">
            <w:pPr>
              <w:jc w:val="center"/>
              <w:rPr>
                <w:rFonts w:cs="Arial"/>
              </w:rPr>
            </w:pPr>
            <w:r w:rsidRPr="00940517">
              <w:rPr>
                <w:rFonts w:cs="Arial"/>
              </w:rPr>
              <w:t>Alternative Schools Task Force</w:t>
            </w:r>
          </w:p>
        </w:tc>
        <w:tc>
          <w:tcPr>
            <w:tcW w:w="869" w:type="pct"/>
            <w:tcBorders>
              <w:top w:val="single" w:sz="4" w:space="0" w:color="auto"/>
              <w:left w:val="single" w:sz="4" w:space="0" w:color="auto"/>
              <w:bottom w:val="single" w:sz="4" w:space="0" w:color="auto"/>
              <w:right w:val="single" w:sz="4" w:space="0" w:color="auto"/>
            </w:tcBorders>
            <w:vAlign w:val="center"/>
          </w:tcPr>
          <w:p w14:paraId="5E4F1C21" w14:textId="4B21F7FF" w:rsidR="00A73E64" w:rsidRPr="00940517" w:rsidRDefault="00262FEB" w:rsidP="002C645C">
            <w:pPr>
              <w:jc w:val="center"/>
              <w:rPr>
                <w:rFonts w:eastAsiaTheme="minorEastAsia" w:cs="Arial"/>
              </w:rPr>
            </w:pPr>
            <w:r w:rsidRPr="00940517">
              <w:rPr>
                <w:rFonts w:eastAsiaTheme="minorEastAsia" w:cs="Arial"/>
              </w:rPr>
              <w:t>10</w:t>
            </w:r>
          </w:p>
        </w:tc>
        <w:tc>
          <w:tcPr>
            <w:tcW w:w="2395" w:type="pct"/>
            <w:tcBorders>
              <w:top w:val="single" w:sz="4" w:space="0" w:color="auto"/>
              <w:left w:val="single" w:sz="4" w:space="0" w:color="auto"/>
              <w:bottom w:val="single" w:sz="4" w:space="0" w:color="auto"/>
              <w:right w:val="single" w:sz="4" w:space="0" w:color="auto"/>
            </w:tcBorders>
            <w:vAlign w:val="center"/>
          </w:tcPr>
          <w:p w14:paraId="1BF7161A" w14:textId="0BEEAF76" w:rsidR="00A73E64" w:rsidRPr="00940517" w:rsidRDefault="00945B22" w:rsidP="00F13890">
            <w:pPr>
              <w:pStyle w:val="ListParagraph"/>
              <w:numPr>
                <w:ilvl w:val="0"/>
                <w:numId w:val="2"/>
              </w:numPr>
              <w:rPr>
                <w:rFonts w:eastAsiaTheme="minorHAnsi" w:cs="Arial"/>
              </w:rPr>
            </w:pPr>
            <w:r w:rsidRPr="00940517">
              <w:rPr>
                <w:rFonts w:eastAsiaTheme="minorHAnsi" w:cs="Arial"/>
              </w:rPr>
              <w:t>D</w:t>
            </w:r>
            <w:r w:rsidR="00150E61" w:rsidRPr="00940517">
              <w:rPr>
                <w:rFonts w:eastAsiaTheme="minorHAnsi" w:cs="Arial"/>
              </w:rPr>
              <w:t xml:space="preserve">ashboard </w:t>
            </w:r>
            <w:r w:rsidRPr="00940517">
              <w:rPr>
                <w:rFonts w:eastAsiaTheme="minorHAnsi" w:cs="Arial"/>
              </w:rPr>
              <w:t>A</w:t>
            </w:r>
            <w:r w:rsidR="00150E61" w:rsidRPr="00940517">
              <w:rPr>
                <w:rFonts w:eastAsiaTheme="minorHAnsi" w:cs="Arial"/>
              </w:rPr>
              <w:t xml:space="preserve">lternative </w:t>
            </w:r>
            <w:r w:rsidRPr="00940517">
              <w:rPr>
                <w:rFonts w:eastAsiaTheme="minorHAnsi" w:cs="Arial"/>
              </w:rPr>
              <w:t>S</w:t>
            </w:r>
            <w:r w:rsidR="00150E61" w:rsidRPr="00940517">
              <w:rPr>
                <w:rFonts w:eastAsiaTheme="minorHAnsi" w:cs="Arial"/>
              </w:rPr>
              <w:t xml:space="preserve">chool </w:t>
            </w:r>
            <w:r w:rsidRPr="00940517">
              <w:rPr>
                <w:rFonts w:eastAsiaTheme="minorHAnsi" w:cs="Arial"/>
              </w:rPr>
              <w:t>S</w:t>
            </w:r>
            <w:r w:rsidR="00150E61" w:rsidRPr="00940517">
              <w:rPr>
                <w:rFonts w:eastAsiaTheme="minorHAnsi" w:cs="Arial"/>
              </w:rPr>
              <w:t>tatus</w:t>
            </w:r>
            <w:r w:rsidRPr="00940517">
              <w:rPr>
                <w:rFonts w:eastAsiaTheme="minorHAnsi" w:cs="Arial"/>
              </w:rPr>
              <w:t xml:space="preserve"> Positive Transition Rate</w:t>
            </w:r>
          </w:p>
        </w:tc>
      </w:tr>
      <w:tr w:rsidR="002C645C" w:rsidRPr="00940517" w14:paraId="04C1B7FD" w14:textId="77777777" w:rsidTr="0E36A200">
        <w:trPr>
          <w:cantSplit/>
        </w:trPr>
        <w:tc>
          <w:tcPr>
            <w:tcW w:w="624" w:type="pct"/>
            <w:tcBorders>
              <w:top w:val="single" w:sz="4" w:space="0" w:color="auto"/>
              <w:left w:val="single" w:sz="4" w:space="0" w:color="auto"/>
              <w:bottom w:val="single" w:sz="4" w:space="0" w:color="auto"/>
              <w:right w:val="single" w:sz="4" w:space="0" w:color="auto"/>
            </w:tcBorders>
            <w:vAlign w:val="center"/>
          </w:tcPr>
          <w:p w14:paraId="38DAAF99" w14:textId="6759AA42" w:rsidR="002C645C" w:rsidRPr="00940517" w:rsidRDefault="002C645C" w:rsidP="002C645C">
            <w:pPr>
              <w:jc w:val="center"/>
              <w:rPr>
                <w:rFonts w:eastAsiaTheme="minorHAnsi" w:cs="Arial"/>
              </w:rPr>
            </w:pPr>
            <w:r w:rsidRPr="00940517">
              <w:rPr>
                <w:rFonts w:eastAsiaTheme="minorHAnsi" w:cs="Arial"/>
              </w:rPr>
              <w:lastRenderedPageBreak/>
              <w:t>August 19, 2021</w:t>
            </w:r>
          </w:p>
        </w:tc>
        <w:tc>
          <w:tcPr>
            <w:tcW w:w="1112" w:type="pct"/>
            <w:tcBorders>
              <w:top w:val="single" w:sz="4" w:space="0" w:color="auto"/>
              <w:left w:val="single" w:sz="4" w:space="0" w:color="auto"/>
              <w:bottom w:val="single" w:sz="4" w:space="0" w:color="auto"/>
              <w:right w:val="single" w:sz="4" w:space="0" w:color="auto"/>
            </w:tcBorders>
            <w:vAlign w:val="center"/>
          </w:tcPr>
          <w:p w14:paraId="388F51A8" w14:textId="15F88A40" w:rsidR="002C645C" w:rsidRPr="00940517" w:rsidRDefault="002C645C" w:rsidP="002C645C">
            <w:pPr>
              <w:jc w:val="center"/>
              <w:rPr>
                <w:rFonts w:eastAsiaTheme="minorHAnsi" w:cs="Arial"/>
              </w:rPr>
            </w:pPr>
            <w:r w:rsidRPr="00940517">
              <w:rPr>
                <w:rFonts w:cs="Arial"/>
              </w:rPr>
              <w:t>Civic Engagement Work Group</w:t>
            </w:r>
          </w:p>
        </w:tc>
        <w:tc>
          <w:tcPr>
            <w:tcW w:w="869" w:type="pct"/>
            <w:tcBorders>
              <w:top w:val="single" w:sz="4" w:space="0" w:color="auto"/>
              <w:left w:val="single" w:sz="4" w:space="0" w:color="auto"/>
              <w:bottom w:val="single" w:sz="4" w:space="0" w:color="auto"/>
              <w:right w:val="single" w:sz="4" w:space="0" w:color="auto"/>
            </w:tcBorders>
            <w:vAlign w:val="center"/>
          </w:tcPr>
          <w:p w14:paraId="6D3C6209" w14:textId="5ADAE295" w:rsidR="002C645C" w:rsidRPr="00940517" w:rsidRDefault="00397801" w:rsidP="002C645C">
            <w:pPr>
              <w:jc w:val="center"/>
              <w:rPr>
                <w:rFonts w:eastAsiaTheme="minorEastAsia" w:cs="Arial"/>
              </w:rPr>
            </w:pPr>
            <w:r w:rsidRPr="00940517">
              <w:rPr>
                <w:rFonts w:eastAsiaTheme="minorEastAsia" w:cs="Arial"/>
              </w:rPr>
              <w:t>25</w:t>
            </w:r>
          </w:p>
        </w:tc>
        <w:tc>
          <w:tcPr>
            <w:tcW w:w="2395" w:type="pct"/>
            <w:tcBorders>
              <w:top w:val="single" w:sz="4" w:space="0" w:color="auto"/>
              <w:left w:val="single" w:sz="4" w:space="0" w:color="auto"/>
              <w:bottom w:val="single" w:sz="4" w:space="0" w:color="auto"/>
              <w:right w:val="single" w:sz="4" w:space="0" w:color="auto"/>
            </w:tcBorders>
            <w:vAlign w:val="center"/>
          </w:tcPr>
          <w:p w14:paraId="5512E61B" w14:textId="5253746A" w:rsidR="002C645C" w:rsidRPr="00940517" w:rsidRDefault="002C645C" w:rsidP="00F13890">
            <w:pPr>
              <w:pStyle w:val="ListParagraph"/>
              <w:numPr>
                <w:ilvl w:val="0"/>
                <w:numId w:val="2"/>
              </w:numPr>
              <w:rPr>
                <w:rFonts w:eastAsiaTheme="minorHAnsi" w:cs="Arial"/>
              </w:rPr>
            </w:pPr>
            <w:r w:rsidRPr="00940517">
              <w:rPr>
                <w:rFonts w:eastAsiaTheme="minorHAnsi" w:cs="Arial"/>
              </w:rPr>
              <w:t>Civic Engagement Work Group Review of Progress</w:t>
            </w:r>
          </w:p>
          <w:p w14:paraId="5112863B" w14:textId="66A5F9E5" w:rsidR="002C645C" w:rsidRPr="00940517" w:rsidRDefault="002C645C" w:rsidP="00F13890">
            <w:pPr>
              <w:pStyle w:val="ListParagraph"/>
              <w:numPr>
                <w:ilvl w:val="0"/>
                <w:numId w:val="2"/>
              </w:numPr>
              <w:rPr>
                <w:rFonts w:eastAsiaTheme="minorHAnsi" w:cs="Arial"/>
              </w:rPr>
            </w:pPr>
            <w:r w:rsidRPr="00940517">
              <w:rPr>
                <w:rFonts w:eastAsiaTheme="minorHAnsi" w:cs="Arial"/>
              </w:rPr>
              <w:t>State Seal of Civic Engagement Updates</w:t>
            </w:r>
          </w:p>
          <w:p w14:paraId="4EB458E7" w14:textId="77777777" w:rsidR="002C645C" w:rsidRPr="00940517" w:rsidRDefault="002C645C" w:rsidP="00F13890">
            <w:pPr>
              <w:pStyle w:val="ListParagraph"/>
              <w:numPr>
                <w:ilvl w:val="0"/>
                <w:numId w:val="2"/>
              </w:numPr>
              <w:rPr>
                <w:rFonts w:eastAsiaTheme="minorHAnsi" w:cs="Arial"/>
              </w:rPr>
            </w:pPr>
            <w:r w:rsidRPr="00940517">
              <w:rPr>
                <w:rFonts w:eastAsiaTheme="minorHAnsi" w:cs="Arial"/>
              </w:rPr>
              <w:t>Accountability Update</w:t>
            </w:r>
          </w:p>
          <w:p w14:paraId="4089E277" w14:textId="64A3C34C" w:rsidR="002C645C" w:rsidRPr="00940517" w:rsidRDefault="002C645C" w:rsidP="00F13890">
            <w:pPr>
              <w:pStyle w:val="ListParagraph"/>
              <w:numPr>
                <w:ilvl w:val="0"/>
                <w:numId w:val="2"/>
              </w:numPr>
              <w:rPr>
                <w:rFonts w:eastAsiaTheme="minorHAnsi" w:cs="Arial"/>
              </w:rPr>
            </w:pPr>
            <w:r w:rsidRPr="00940517">
              <w:rPr>
                <w:rFonts w:eastAsiaTheme="minorHAnsi" w:cs="Arial"/>
              </w:rPr>
              <w:t>Review of Proposed Civic Engagement Criteria</w:t>
            </w:r>
          </w:p>
        </w:tc>
      </w:tr>
      <w:tr w:rsidR="002C645C" w:rsidRPr="00940517" w14:paraId="5F3ED072" w14:textId="77777777" w:rsidTr="0E36A200">
        <w:trPr>
          <w:cantSplit/>
        </w:trPr>
        <w:tc>
          <w:tcPr>
            <w:tcW w:w="624" w:type="pct"/>
            <w:tcBorders>
              <w:top w:val="single" w:sz="4" w:space="0" w:color="auto"/>
              <w:left w:val="single" w:sz="4" w:space="0" w:color="auto"/>
              <w:bottom w:val="single" w:sz="4" w:space="0" w:color="auto"/>
              <w:right w:val="single" w:sz="4" w:space="0" w:color="auto"/>
            </w:tcBorders>
            <w:vAlign w:val="center"/>
          </w:tcPr>
          <w:p w14:paraId="66B2413C" w14:textId="5423249D" w:rsidR="002C645C" w:rsidRPr="00940517" w:rsidRDefault="002C645C" w:rsidP="002C645C">
            <w:pPr>
              <w:jc w:val="center"/>
              <w:rPr>
                <w:rFonts w:eastAsiaTheme="minorHAnsi" w:cs="Arial"/>
              </w:rPr>
            </w:pPr>
            <w:r w:rsidRPr="00940517">
              <w:rPr>
                <w:rFonts w:eastAsiaTheme="minorHAnsi" w:cs="Arial"/>
              </w:rPr>
              <w:t>October 14, 2021</w:t>
            </w:r>
          </w:p>
        </w:tc>
        <w:tc>
          <w:tcPr>
            <w:tcW w:w="1112" w:type="pct"/>
            <w:tcBorders>
              <w:top w:val="single" w:sz="4" w:space="0" w:color="auto"/>
              <w:left w:val="single" w:sz="4" w:space="0" w:color="auto"/>
              <w:bottom w:val="single" w:sz="4" w:space="0" w:color="auto"/>
              <w:right w:val="single" w:sz="4" w:space="0" w:color="auto"/>
            </w:tcBorders>
            <w:vAlign w:val="center"/>
          </w:tcPr>
          <w:p w14:paraId="5F7D827F" w14:textId="3437D72E" w:rsidR="002C645C" w:rsidRPr="00940517" w:rsidRDefault="002C645C" w:rsidP="002C645C">
            <w:pPr>
              <w:jc w:val="center"/>
              <w:rPr>
                <w:rFonts w:eastAsiaTheme="minorHAnsi" w:cs="Arial"/>
              </w:rPr>
            </w:pPr>
            <w:r w:rsidRPr="00940517">
              <w:rPr>
                <w:rFonts w:eastAsiaTheme="minorHAnsi" w:cs="Arial"/>
              </w:rPr>
              <w:t>Technical Design Group</w:t>
            </w:r>
          </w:p>
        </w:tc>
        <w:tc>
          <w:tcPr>
            <w:tcW w:w="869" w:type="pct"/>
            <w:tcBorders>
              <w:top w:val="single" w:sz="4" w:space="0" w:color="auto"/>
              <w:left w:val="single" w:sz="4" w:space="0" w:color="auto"/>
              <w:bottom w:val="single" w:sz="4" w:space="0" w:color="auto"/>
              <w:right w:val="single" w:sz="4" w:space="0" w:color="auto"/>
            </w:tcBorders>
            <w:vAlign w:val="center"/>
          </w:tcPr>
          <w:p w14:paraId="6D042AF5" w14:textId="5D46DCB2" w:rsidR="002C645C" w:rsidRPr="00940517" w:rsidRDefault="002C645C" w:rsidP="002C645C">
            <w:pPr>
              <w:jc w:val="center"/>
              <w:rPr>
                <w:rFonts w:eastAsiaTheme="minorEastAsia" w:cs="Arial"/>
              </w:rPr>
            </w:pPr>
            <w:r w:rsidRPr="00940517">
              <w:rPr>
                <w:rFonts w:eastAsiaTheme="minorEastAsia" w:cs="Arial"/>
              </w:rPr>
              <w:t>8</w:t>
            </w:r>
          </w:p>
        </w:tc>
        <w:tc>
          <w:tcPr>
            <w:tcW w:w="2395" w:type="pct"/>
            <w:tcBorders>
              <w:top w:val="single" w:sz="4" w:space="0" w:color="auto"/>
              <w:left w:val="single" w:sz="4" w:space="0" w:color="auto"/>
              <w:bottom w:val="single" w:sz="4" w:space="0" w:color="auto"/>
              <w:right w:val="single" w:sz="4" w:space="0" w:color="auto"/>
            </w:tcBorders>
            <w:vAlign w:val="center"/>
          </w:tcPr>
          <w:p w14:paraId="1ED227FD" w14:textId="77777777" w:rsidR="002C645C" w:rsidRPr="00940517" w:rsidRDefault="002C645C" w:rsidP="00F13890">
            <w:pPr>
              <w:pStyle w:val="ListParagraph"/>
              <w:numPr>
                <w:ilvl w:val="0"/>
                <w:numId w:val="2"/>
              </w:numPr>
              <w:rPr>
                <w:rFonts w:eastAsiaTheme="minorHAnsi" w:cs="Arial"/>
              </w:rPr>
            </w:pPr>
            <w:r w:rsidRPr="00940517">
              <w:rPr>
                <w:rFonts w:eastAsiaTheme="minorHAnsi" w:cs="Arial"/>
              </w:rPr>
              <w:t xml:space="preserve">Student Growth Model Data Release </w:t>
            </w:r>
          </w:p>
          <w:p w14:paraId="7F54C8D5" w14:textId="77777777" w:rsidR="002C645C" w:rsidRPr="00940517" w:rsidRDefault="002C645C" w:rsidP="00F13890">
            <w:pPr>
              <w:pStyle w:val="ListParagraph"/>
              <w:numPr>
                <w:ilvl w:val="0"/>
                <w:numId w:val="2"/>
              </w:numPr>
              <w:rPr>
                <w:rFonts w:eastAsiaTheme="minorHAnsi" w:cs="Arial"/>
              </w:rPr>
            </w:pPr>
            <w:r w:rsidRPr="00940517">
              <w:rPr>
                <w:rFonts w:eastAsiaTheme="minorHAnsi" w:cs="Arial"/>
              </w:rPr>
              <w:t>Accountability Update</w:t>
            </w:r>
          </w:p>
          <w:p w14:paraId="72A98EDC" w14:textId="77777777" w:rsidR="002C645C" w:rsidRPr="00940517" w:rsidRDefault="002C645C" w:rsidP="00F13890">
            <w:pPr>
              <w:pStyle w:val="ListParagraph"/>
              <w:numPr>
                <w:ilvl w:val="0"/>
                <w:numId w:val="2"/>
              </w:numPr>
              <w:rPr>
                <w:rFonts w:eastAsiaTheme="minorHAnsi" w:cs="Arial"/>
              </w:rPr>
            </w:pPr>
            <w:r w:rsidRPr="00940517">
              <w:rPr>
                <w:rFonts w:eastAsiaTheme="minorHAnsi" w:cs="Arial"/>
              </w:rPr>
              <w:t xml:space="preserve">2021 Accountability and Data Reporting </w:t>
            </w:r>
          </w:p>
          <w:p w14:paraId="6DDA74F2" w14:textId="49D5605B" w:rsidR="002C645C" w:rsidRPr="00940517" w:rsidRDefault="002C645C" w:rsidP="00F13890">
            <w:pPr>
              <w:pStyle w:val="ListParagraph"/>
              <w:numPr>
                <w:ilvl w:val="0"/>
                <w:numId w:val="2"/>
              </w:numPr>
              <w:rPr>
                <w:rFonts w:eastAsiaTheme="minorHAnsi" w:cs="Arial"/>
              </w:rPr>
            </w:pPr>
            <w:r w:rsidRPr="00940517">
              <w:rPr>
                <w:rFonts w:eastAsiaTheme="minorHAnsi" w:cs="Arial"/>
              </w:rPr>
              <w:t>Accountability in 2022 and 2023</w:t>
            </w:r>
          </w:p>
          <w:p w14:paraId="53F0FDA0" w14:textId="70C55ED3" w:rsidR="002C645C" w:rsidRPr="00940517" w:rsidRDefault="002C645C" w:rsidP="00F13890">
            <w:pPr>
              <w:pStyle w:val="ListParagraph"/>
              <w:numPr>
                <w:ilvl w:val="0"/>
                <w:numId w:val="2"/>
              </w:numPr>
              <w:rPr>
                <w:rFonts w:eastAsiaTheme="minorHAnsi" w:cs="Arial"/>
              </w:rPr>
            </w:pPr>
            <w:r w:rsidRPr="00940517">
              <w:rPr>
                <w:rFonts w:eastAsiaTheme="minorHAnsi" w:cs="Arial"/>
              </w:rPr>
              <w:t>Brainstorming: 2022 Dashboard (Status)</w:t>
            </w:r>
          </w:p>
        </w:tc>
      </w:tr>
      <w:tr w:rsidR="00644C63" w:rsidRPr="00940517" w14:paraId="0FD10212" w14:textId="77777777" w:rsidTr="0E36A200">
        <w:trPr>
          <w:cantSplit/>
        </w:trPr>
        <w:tc>
          <w:tcPr>
            <w:tcW w:w="624" w:type="pct"/>
            <w:tcBorders>
              <w:top w:val="single" w:sz="4" w:space="0" w:color="auto"/>
              <w:left w:val="single" w:sz="4" w:space="0" w:color="auto"/>
              <w:bottom w:val="single" w:sz="4" w:space="0" w:color="auto"/>
              <w:right w:val="single" w:sz="4" w:space="0" w:color="auto"/>
            </w:tcBorders>
            <w:vAlign w:val="center"/>
          </w:tcPr>
          <w:p w14:paraId="544AF0A9" w14:textId="31810453" w:rsidR="00644C63" w:rsidRPr="00940517" w:rsidRDefault="413970B5" w:rsidP="0E36A200">
            <w:pPr>
              <w:jc w:val="center"/>
              <w:rPr>
                <w:rFonts w:eastAsiaTheme="minorEastAsia" w:cs="Arial"/>
              </w:rPr>
            </w:pPr>
            <w:r w:rsidRPr="00940517">
              <w:rPr>
                <w:rFonts w:eastAsiaTheme="minorEastAsia" w:cs="Arial"/>
              </w:rPr>
              <w:t>February 10, 2022</w:t>
            </w:r>
          </w:p>
        </w:tc>
        <w:tc>
          <w:tcPr>
            <w:tcW w:w="1112" w:type="pct"/>
            <w:tcBorders>
              <w:top w:val="single" w:sz="4" w:space="0" w:color="auto"/>
              <w:left w:val="single" w:sz="4" w:space="0" w:color="auto"/>
              <w:bottom w:val="single" w:sz="4" w:space="0" w:color="auto"/>
              <w:right w:val="single" w:sz="4" w:space="0" w:color="auto"/>
            </w:tcBorders>
            <w:vAlign w:val="center"/>
          </w:tcPr>
          <w:p w14:paraId="59FF6AA5" w14:textId="2A1F9CD1" w:rsidR="00644C63" w:rsidRPr="00940517" w:rsidRDefault="413970B5" w:rsidP="0E36A200">
            <w:pPr>
              <w:jc w:val="center"/>
              <w:rPr>
                <w:rFonts w:eastAsiaTheme="minorEastAsia" w:cs="Arial"/>
              </w:rPr>
            </w:pPr>
            <w:r w:rsidRPr="00940517">
              <w:rPr>
                <w:rFonts w:eastAsiaTheme="minorEastAsia" w:cs="Arial"/>
              </w:rPr>
              <w:t>Technical Design Group</w:t>
            </w:r>
          </w:p>
        </w:tc>
        <w:tc>
          <w:tcPr>
            <w:tcW w:w="869" w:type="pct"/>
            <w:tcBorders>
              <w:top w:val="single" w:sz="4" w:space="0" w:color="auto"/>
              <w:left w:val="single" w:sz="4" w:space="0" w:color="auto"/>
              <w:bottom w:val="single" w:sz="4" w:space="0" w:color="auto"/>
              <w:right w:val="single" w:sz="4" w:space="0" w:color="auto"/>
            </w:tcBorders>
            <w:vAlign w:val="center"/>
          </w:tcPr>
          <w:p w14:paraId="36AB2152" w14:textId="7D0EA23C" w:rsidR="00644C63" w:rsidRPr="00940517" w:rsidRDefault="413970B5" w:rsidP="0E36A200">
            <w:pPr>
              <w:jc w:val="center"/>
              <w:rPr>
                <w:rFonts w:eastAsiaTheme="minorEastAsia" w:cs="Arial"/>
              </w:rPr>
            </w:pPr>
            <w:r w:rsidRPr="00940517">
              <w:rPr>
                <w:rFonts w:eastAsiaTheme="minorEastAsia" w:cs="Arial"/>
              </w:rPr>
              <w:t>5</w:t>
            </w:r>
          </w:p>
        </w:tc>
        <w:tc>
          <w:tcPr>
            <w:tcW w:w="2395" w:type="pct"/>
            <w:tcBorders>
              <w:top w:val="single" w:sz="4" w:space="0" w:color="auto"/>
              <w:left w:val="single" w:sz="4" w:space="0" w:color="auto"/>
              <w:bottom w:val="single" w:sz="4" w:space="0" w:color="auto"/>
              <w:right w:val="single" w:sz="4" w:space="0" w:color="auto"/>
            </w:tcBorders>
            <w:vAlign w:val="center"/>
          </w:tcPr>
          <w:p w14:paraId="2ADF43D2" w14:textId="77777777" w:rsidR="00644C63" w:rsidRPr="00940517" w:rsidRDefault="413970B5" w:rsidP="0E36A200">
            <w:pPr>
              <w:pStyle w:val="ListParagraph"/>
              <w:numPr>
                <w:ilvl w:val="0"/>
                <w:numId w:val="2"/>
              </w:numPr>
              <w:rPr>
                <w:rFonts w:eastAsiaTheme="minorEastAsia" w:cs="Arial"/>
              </w:rPr>
            </w:pPr>
            <w:r w:rsidRPr="00940517">
              <w:rPr>
                <w:rFonts w:eastAsiaTheme="minorEastAsia" w:cs="Arial"/>
              </w:rPr>
              <w:t>2021 Data Release</w:t>
            </w:r>
          </w:p>
          <w:p w14:paraId="353B56D5" w14:textId="77777777" w:rsidR="00644C63" w:rsidRPr="00940517" w:rsidRDefault="413970B5" w:rsidP="0E36A200">
            <w:pPr>
              <w:pStyle w:val="ListParagraph"/>
              <w:numPr>
                <w:ilvl w:val="0"/>
                <w:numId w:val="2"/>
              </w:numPr>
              <w:rPr>
                <w:rFonts w:eastAsiaTheme="minorEastAsia" w:cs="Arial"/>
              </w:rPr>
            </w:pPr>
            <w:r w:rsidRPr="00940517">
              <w:rPr>
                <w:rFonts w:eastAsiaTheme="minorEastAsia" w:cs="Arial"/>
              </w:rPr>
              <w:t xml:space="preserve">2022 School Support Identification </w:t>
            </w:r>
          </w:p>
          <w:p w14:paraId="0FEF145B" w14:textId="77777777" w:rsidR="00644C63" w:rsidRPr="00940517" w:rsidRDefault="413970B5" w:rsidP="0E36A200">
            <w:pPr>
              <w:pStyle w:val="ListParagraph"/>
              <w:numPr>
                <w:ilvl w:val="0"/>
                <w:numId w:val="2"/>
              </w:numPr>
              <w:rPr>
                <w:rFonts w:eastAsiaTheme="minorEastAsia" w:cs="Arial"/>
              </w:rPr>
            </w:pPr>
            <w:r w:rsidRPr="00940517">
              <w:rPr>
                <w:rFonts w:eastAsiaTheme="minorEastAsia" w:cs="Arial"/>
              </w:rPr>
              <w:t>DASS Updates</w:t>
            </w:r>
          </w:p>
          <w:p w14:paraId="5E2A1769" w14:textId="79E25B00" w:rsidR="00644C63" w:rsidRPr="00940517" w:rsidRDefault="413970B5" w:rsidP="0E36A200">
            <w:pPr>
              <w:pStyle w:val="ListParagraph"/>
              <w:numPr>
                <w:ilvl w:val="0"/>
                <w:numId w:val="2"/>
              </w:numPr>
              <w:rPr>
                <w:rFonts w:eastAsiaTheme="minorEastAsia" w:cs="Arial"/>
              </w:rPr>
            </w:pPr>
            <w:r w:rsidRPr="00940517">
              <w:rPr>
                <w:rFonts w:eastAsiaTheme="minorEastAsia" w:cs="Arial"/>
              </w:rPr>
              <w:t>Chronic Absenteeism and Independent Study</w:t>
            </w:r>
          </w:p>
        </w:tc>
      </w:tr>
    </w:tbl>
    <w:p w14:paraId="2C4C7A35" w14:textId="53B35D37" w:rsidR="006F6D12" w:rsidRPr="00940517" w:rsidRDefault="00042F91" w:rsidP="001C57C2">
      <w:pPr>
        <w:pStyle w:val="Heading4"/>
      </w:pPr>
      <w:r w:rsidRPr="00940517">
        <w:br w:type="page"/>
      </w:r>
      <w:r w:rsidR="006F6D12" w:rsidRPr="00940517">
        <w:lastRenderedPageBreak/>
        <w:t>Table 2</w:t>
      </w:r>
      <w:r w:rsidR="00315BEC" w:rsidRPr="00940517">
        <w:t xml:space="preserve">: </w:t>
      </w:r>
      <w:r w:rsidR="006F6D12" w:rsidRPr="00940517">
        <w:t>In-person Meetings/Conferences</w:t>
      </w:r>
    </w:p>
    <w:tbl>
      <w:tblPr>
        <w:tblStyle w:val="TableGrid"/>
        <w:tblW w:w="5000" w:type="pct"/>
        <w:tblLayout w:type="fixed"/>
        <w:tblLook w:val="04A0" w:firstRow="1" w:lastRow="0" w:firstColumn="1" w:lastColumn="0" w:noHBand="0" w:noVBand="1"/>
        <w:tblCaption w:val="Table 2. In-person Meetings/Conferences"/>
        <w:tblDescription w:val="This table shows what topics were covered during In-person Meetings/Conferences."/>
      </w:tblPr>
      <w:tblGrid>
        <w:gridCol w:w="2424"/>
        <w:gridCol w:w="3054"/>
        <w:gridCol w:w="1888"/>
        <w:gridCol w:w="5584"/>
      </w:tblGrid>
      <w:tr w:rsidR="006F6D12" w:rsidRPr="00940517" w14:paraId="01005946" w14:textId="77777777" w:rsidTr="00625FB5">
        <w:trPr>
          <w:cantSplit/>
          <w:tblHeader/>
        </w:trPr>
        <w:tc>
          <w:tcPr>
            <w:tcW w:w="9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FB34A1" w14:textId="77777777" w:rsidR="006F6D12" w:rsidRPr="00940517" w:rsidRDefault="006F6D12" w:rsidP="002C26FE">
            <w:pPr>
              <w:jc w:val="center"/>
              <w:rPr>
                <w:rFonts w:cs="Arial"/>
                <w:b/>
              </w:rPr>
            </w:pPr>
            <w:r w:rsidRPr="00940517">
              <w:rPr>
                <w:rFonts w:cs="Arial"/>
                <w:b/>
              </w:rPr>
              <w:t>Date</w:t>
            </w:r>
          </w:p>
        </w:tc>
        <w:tc>
          <w:tcPr>
            <w:tcW w:w="1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1ECED1" w14:textId="77777777" w:rsidR="006F6D12" w:rsidRPr="00940517" w:rsidRDefault="006F6D12" w:rsidP="002C26FE">
            <w:pPr>
              <w:jc w:val="center"/>
              <w:rPr>
                <w:rFonts w:cs="Arial"/>
                <w:b/>
              </w:rPr>
            </w:pPr>
            <w:r w:rsidRPr="00940517">
              <w:rPr>
                <w:rFonts w:cs="Arial"/>
                <w:b/>
              </w:rPr>
              <w:t>Title</w:t>
            </w:r>
          </w:p>
        </w:tc>
        <w:tc>
          <w:tcPr>
            <w:tcW w:w="72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F108F6" w14:textId="77777777" w:rsidR="006F6D12" w:rsidRPr="00940517" w:rsidRDefault="006F6D12" w:rsidP="002C26FE">
            <w:pPr>
              <w:jc w:val="center"/>
              <w:rPr>
                <w:rFonts w:cs="Arial"/>
                <w:b/>
              </w:rPr>
            </w:pPr>
            <w:r w:rsidRPr="00940517">
              <w:rPr>
                <w:rFonts w:cs="Arial"/>
                <w:b/>
              </w:rPr>
              <w:t>Estimated Number of Attendees</w:t>
            </w:r>
          </w:p>
        </w:tc>
        <w:tc>
          <w:tcPr>
            <w:tcW w:w="2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F18176" w14:textId="77777777" w:rsidR="006F6D12" w:rsidRPr="00940517" w:rsidRDefault="006F6D12" w:rsidP="002C26FE">
            <w:pPr>
              <w:jc w:val="center"/>
              <w:rPr>
                <w:rFonts w:cs="Arial"/>
                <w:b/>
              </w:rPr>
            </w:pPr>
            <w:r w:rsidRPr="00940517">
              <w:rPr>
                <w:rFonts w:cs="Arial"/>
                <w:b/>
              </w:rPr>
              <w:t>Topics</w:t>
            </w:r>
          </w:p>
        </w:tc>
      </w:tr>
      <w:tr w:rsidR="00313E68" w:rsidRPr="00940517" w14:paraId="10DD2B5B" w14:textId="77777777" w:rsidTr="00CE15DC">
        <w:trPr>
          <w:cantSplit/>
        </w:trPr>
        <w:tc>
          <w:tcPr>
            <w:tcW w:w="936" w:type="pct"/>
            <w:tcBorders>
              <w:top w:val="single" w:sz="4" w:space="0" w:color="auto"/>
              <w:left w:val="single" w:sz="4" w:space="0" w:color="auto"/>
              <w:bottom w:val="single" w:sz="4" w:space="0" w:color="auto"/>
              <w:right w:val="single" w:sz="4" w:space="0" w:color="auto"/>
            </w:tcBorders>
            <w:vAlign w:val="center"/>
          </w:tcPr>
          <w:p w14:paraId="72005EF5" w14:textId="2EE3AE04" w:rsidR="00313E68" w:rsidRPr="00940517" w:rsidRDefault="00313E68" w:rsidP="00CE15DC">
            <w:pPr>
              <w:jc w:val="center"/>
              <w:rPr>
                <w:rFonts w:eastAsiaTheme="minorHAnsi" w:cs="Arial"/>
              </w:rPr>
            </w:pPr>
            <w:r w:rsidRPr="00940517">
              <w:rPr>
                <w:rFonts w:eastAsiaTheme="minorHAnsi" w:cs="Arial"/>
              </w:rPr>
              <w:t>October 20, 2021</w:t>
            </w:r>
          </w:p>
        </w:tc>
        <w:tc>
          <w:tcPr>
            <w:tcW w:w="1179" w:type="pct"/>
            <w:tcBorders>
              <w:top w:val="single" w:sz="4" w:space="0" w:color="auto"/>
              <w:left w:val="single" w:sz="4" w:space="0" w:color="auto"/>
              <w:bottom w:val="single" w:sz="4" w:space="0" w:color="auto"/>
              <w:right w:val="single" w:sz="4" w:space="0" w:color="auto"/>
            </w:tcBorders>
          </w:tcPr>
          <w:p w14:paraId="1347C05D" w14:textId="6F97AB8A" w:rsidR="00313E68" w:rsidRPr="00940517" w:rsidRDefault="00313E68" w:rsidP="00313E68">
            <w:pPr>
              <w:jc w:val="center"/>
              <w:rPr>
                <w:rFonts w:eastAsiaTheme="minorHAnsi" w:cs="Arial"/>
              </w:rPr>
            </w:pPr>
            <w:r w:rsidRPr="00940517">
              <w:rPr>
                <w:rFonts w:cs="Arial"/>
              </w:rPr>
              <w:t>Education Commission of the States Virtual Forum: Leveraging State-Level Data for Equitable Education Outcomes</w:t>
            </w:r>
          </w:p>
        </w:tc>
        <w:tc>
          <w:tcPr>
            <w:tcW w:w="729" w:type="pct"/>
            <w:tcBorders>
              <w:top w:val="single" w:sz="4" w:space="0" w:color="auto"/>
              <w:left w:val="single" w:sz="4" w:space="0" w:color="auto"/>
              <w:bottom w:val="single" w:sz="4" w:space="0" w:color="auto"/>
              <w:right w:val="single" w:sz="4" w:space="0" w:color="auto"/>
            </w:tcBorders>
            <w:vAlign w:val="center"/>
          </w:tcPr>
          <w:p w14:paraId="42AB5DDE" w14:textId="3D244704" w:rsidR="00313E68" w:rsidRPr="00940517" w:rsidRDefault="00DF6355" w:rsidP="00CE15DC">
            <w:pPr>
              <w:jc w:val="center"/>
              <w:rPr>
                <w:rFonts w:eastAsiaTheme="minorHAnsi" w:cs="Arial"/>
              </w:rPr>
            </w:pPr>
            <w:r w:rsidRPr="00940517">
              <w:rPr>
                <w:rFonts w:eastAsiaTheme="minorHAnsi" w:cs="Arial"/>
              </w:rPr>
              <w:t>98</w:t>
            </w:r>
          </w:p>
        </w:tc>
        <w:tc>
          <w:tcPr>
            <w:tcW w:w="2156" w:type="pct"/>
            <w:tcBorders>
              <w:top w:val="single" w:sz="4" w:space="0" w:color="auto"/>
              <w:left w:val="single" w:sz="4" w:space="0" w:color="auto"/>
              <w:bottom w:val="single" w:sz="4" w:space="0" w:color="auto"/>
              <w:right w:val="single" w:sz="4" w:space="0" w:color="auto"/>
            </w:tcBorders>
          </w:tcPr>
          <w:p w14:paraId="1E1A407C" w14:textId="77777777" w:rsidR="00313E68" w:rsidRPr="00940517" w:rsidRDefault="00313E68" w:rsidP="00F13890">
            <w:pPr>
              <w:pStyle w:val="ListParagraph"/>
              <w:numPr>
                <w:ilvl w:val="0"/>
                <w:numId w:val="2"/>
              </w:numPr>
              <w:rPr>
                <w:rFonts w:eastAsiaTheme="minorHAnsi" w:cs="Arial"/>
              </w:rPr>
            </w:pPr>
            <w:r w:rsidRPr="00940517">
              <w:rPr>
                <w:rFonts w:eastAsiaTheme="minorHAnsi" w:cs="Arial"/>
              </w:rPr>
              <w:t>Overview of the Dashboard</w:t>
            </w:r>
          </w:p>
          <w:p w14:paraId="70288825" w14:textId="77777777" w:rsidR="00313E68" w:rsidRPr="00940517" w:rsidRDefault="00313E68" w:rsidP="00F13890">
            <w:pPr>
              <w:pStyle w:val="ListParagraph"/>
              <w:numPr>
                <w:ilvl w:val="0"/>
                <w:numId w:val="2"/>
              </w:numPr>
              <w:rPr>
                <w:rFonts w:eastAsiaTheme="minorHAnsi" w:cs="Arial"/>
              </w:rPr>
            </w:pPr>
            <w:r w:rsidRPr="00940517">
              <w:rPr>
                <w:rFonts w:eastAsiaTheme="minorHAnsi" w:cs="Arial"/>
              </w:rPr>
              <w:t>Review of how to use Dashboard data</w:t>
            </w:r>
          </w:p>
          <w:p w14:paraId="433CDC53" w14:textId="5DFBEEFF" w:rsidR="00313E68" w:rsidRPr="00940517" w:rsidRDefault="00313E68" w:rsidP="00F13890">
            <w:pPr>
              <w:pStyle w:val="ListParagraph"/>
              <w:numPr>
                <w:ilvl w:val="0"/>
                <w:numId w:val="3"/>
              </w:numPr>
              <w:rPr>
                <w:rFonts w:eastAsiaTheme="minorHAnsi" w:cs="Arial"/>
              </w:rPr>
            </w:pPr>
            <w:r w:rsidRPr="00940517">
              <w:rPr>
                <w:rFonts w:eastAsiaTheme="minorHAnsi" w:cs="Arial"/>
              </w:rPr>
              <w:t>Review of districts identified for support</w:t>
            </w:r>
          </w:p>
        </w:tc>
      </w:tr>
      <w:tr w:rsidR="006F6D12" w:rsidRPr="00940517" w14:paraId="47975C1E" w14:textId="77777777" w:rsidTr="00DE6E42">
        <w:trPr>
          <w:cantSplit/>
        </w:trPr>
        <w:tc>
          <w:tcPr>
            <w:tcW w:w="936" w:type="pct"/>
            <w:tcBorders>
              <w:top w:val="single" w:sz="4" w:space="0" w:color="auto"/>
              <w:left w:val="single" w:sz="4" w:space="0" w:color="auto"/>
              <w:bottom w:val="single" w:sz="4" w:space="0" w:color="auto"/>
              <w:right w:val="single" w:sz="4" w:space="0" w:color="auto"/>
            </w:tcBorders>
            <w:vAlign w:val="center"/>
          </w:tcPr>
          <w:p w14:paraId="056D835D" w14:textId="74BDBBE7" w:rsidR="006F6D12" w:rsidRPr="00940517" w:rsidRDefault="00142223" w:rsidP="002C26FE">
            <w:pPr>
              <w:jc w:val="center"/>
              <w:rPr>
                <w:rFonts w:eastAsiaTheme="minorHAnsi" w:cs="Arial"/>
              </w:rPr>
            </w:pPr>
            <w:r w:rsidRPr="00940517">
              <w:rPr>
                <w:rFonts w:eastAsiaTheme="minorHAnsi" w:cs="Arial"/>
              </w:rPr>
              <w:t>November 16, 2021</w:t>
            </w:r>
          </w:p>
        </w:tc>
        <w:tc>
          <w:tcPr>
            <w:tcW w:w="1179" w:type="pct"/>
            <w:tcBorders>
              <w:top w:val="single" w:sz="4" w:space="0" w:color="auto"/>
              <w:left w:val="single" w:sz="4" w:space="0" w:color="auto"/>
              <w:bottom w:val="single" w:sz="4" w:space="0" w:color="auto"/>
              <w:right w:val="single" w:sz="4" w:space="0" w:color="auto"/>
            </w:tcBorders>
            <w:vAlign w:val="center"/>
          </w:tcPr>
          <w:p w14:paraId="55552B5A" w14:textId="407D2DAE" w:rsidR="006F6D12" w:rsidRPr="00940517" w:rsidRDefault="00D82B09" w:rsidP="002C26FE">
            <w:pPr>
              <w:jc w:val="center"/>
              <w:rPr>
                <w:rFonts w:eastAsiaTheme="minorHAnsi" w:cs="Arial"/>
              </w:rPr>
            </w:pPr>
            <w:r w:rsidRPr="00940517">
              <w:rPr>
                <w:rFonts w:eastAsiaTheme="minorHAnsi" w:cs="Arial"/>
              </w:rPr>
              <w:t>California Education Research Association Annual Conference</w:t>
            </w:r>
            <w:r w:rsidR="00C34061" w:rsidRPr="00940517">
              <w:rPr>
                <w:rFonts w:eastAsiaTheme="minorHAnsi" w:cs="Arial"/>
              </w:rPr>
              <w:t xml:space="preserve">: </w:t>
            </w:r>
            <w:r w:rsidR="00142223" w:rsidRPr="00940517">
              <w:rPr>
                <w:rFonts w:eastAsiaTheme="minorHAnsi" w:cs="Arial"/>
              </w:rPr>
              <w:t>Accountability and Data Reporting Session</w:t>
            </w:r>
          </w:p>
        </w:tc>
        <w:tc>
          <w:tcPr>
            <w:tcW w:w="729" w:type="pct"/>
            <w:tcBorders>
              <w:top w:val="single" w:sz="4" w:space="0" w:color="auto"/>
              <w:left w:val="single" w:sz="4" w:space="0" w:color="auto"/>
              <w:bottom w:val="single" w:sz="4" w:space="0" w:color="auto"/>
              <w:right w:val="single" w:sz="4" w:space="0" w:color="auto"/>
            </w:tcBorders>
            <w:vAlign w:val="center"/>
          </w:tcPr>
          <w:p w14:paraId="3F6CF33F" w14:textId="4D20B849" w:rsidR="006F6D12" w:rsidRPr="00940517" w:rsidRDefault="00142223" w:rsidP="002C26FE">
            <w:pPr>
              <w:jc w:val="center"/>
              <w:rPr>
                <w:rFonts w:eastAsiaTheme="minorHAnsi" w:cs="Arial"/>
              </w:rPr>
            </w:pPr>
            <w:r w:rsidRPr="00940517">
              <w:rPr>
                <w:rFonts w:eastAsiaTheme="minorHAnsi" w:cs="Arial"/>
              </w:rPr>
              <w:t>75</w:t>
            </w:r>
          </w:p>
        </w:tc>
        <w:tc>
          <w:tcPr>
            <w:tcW w:w="2156" w:type="pct"/>
            <w:tcBorders>
              <w:top w:val="single" w:sz="4" w:space="0" w:color="auto"/>
              <w:left w:val="single" w:sz="4" w:space="0" w:color="auto"/>
              <w:bottom w:val="single" w:sz="4" w:space="0" w:color="auto"/>
              <w:right w:val="single" w:sz="4" w:space="0" w:color="auto"/>
            </w:tcBorders>
            <w:vAlign w:val="center"/>
          </w:tcPr>
          <w:p w14:paraId="72D5AA2C" w14:textId="4E9B8936" w:rsidR="006F6D12" w:rsidRPr="00940517" w:rsidRDefault="00142223" w:rsidP="00F13890">
            <w:pPr>
              <w:pStyle w:val="ListParagraph"/>
              <w:numPr>
                <w:ilvl w:val="0"/>
                <w:numId w:val="3"/>
              </w:numPr>
              <w:rPr>
                <w:rFonts w:eastAsiaTheme="minorHAnsi" w:cs="Arial"/>
              </w:rPr>
            </w:pPr>
            <w:r w:rsidRPr="00940517">
              <w:rPr>
                <w:rFonts w:eastAsiaTheme="minorHAnsi" w:cs="Arial"/>
              </w:rPr>
              <w:t>Accountability and Data Reporting for the 202</w:t>
            </w:r>
            <w:r w:rsidR="00E31A83" w:rsidRPr="00940517">
              <w:rPr>
                <w:rFonts w:eastAsiaTheme="minorHAnsi" w:cs="Arial"/>
              </w:rPr>
              <w:t>0</w:t>
            </w:r>
            <w:r w:rsidR="00802EEA" w:rsidRPr="00940517">
              <w:rPr>
                <w:rFonts w:eastAsiaTheme="minorHAnsi" w:cs="Arial"/>
              </w:rPr>
              <w:t>–</w:t>
            </w:r>
            <w:r w:rsidRPr="00940517">
              <w:rPr>
                <w:rFonts w:eastAsiaTheme="minorHAnsi" w:cs="Arial"/>
              </w:rPr>
              <w:t>21 School Year</w:t>
            </w:r>
          </w:p>
          <w:p w14:paraId="51BC806B" w14:textId="5D7AFF52" w:rsidR="00142223" w:rsidRPr="00940517" w:rsidRDefault="00142223" w:rsidP="00F13890">
            <w:pPr>
              <w:pStyle w:val="ListParagraph"/>
              <w:numPr>
                <w:ilvl w:val="0"/>
                <w:numId w:val="3"/>
              </w:numPr>
              <w:rPr>
                <w:rFonts w:eastAsiaTheme="minorHAnsi" w:cs="Arial"/>
              </w:rPr>
            </w:pPr>
            <w:r w:rsidRPr="00940517">
              <w:rPr>
                <w:rFonts w:eastAsiaTheme="minorHAnsi" w:cs="Arial"/>
              </w:rPr>
              <w:t>Seeing into the Future: 2022 and beyond</w:t>
            </w:r>
          </w:p>
        </w:tc>
      </w:tr>
      <w:tr w:rsidR="00C34061" w:rsidRPr="00940517" w14:paraId="2B3B7E94" w14:textId="77777777" w:rsidTr="00DE6E42">
        <w:trPr>
          <w:cantSplit/>
        </w:trPr>
        <w:tc>
          <w:tcPr>
            <w:tcW w:w="936" w:type="pct"/>
            <w:tcBorders>
              <w:top w:val="single" w:sz="4" w:space="0" w:color="auto"/>
              <w:left w:val="single" w:sz="4" w:space="0" w:color="auto"/>
              <w:bottom w:val="single" w:sz="4" w:space="0" w:color="auto"/>
              <w:right w:val="single" w:sz="4" w:space="0" w:color="auto"/>
            </w:tcBorders>
            <w:vAlign w:val="center"/>
          </w:tcPr>
          <w:p w14:paraId="14B5BD2C" w14:textId="6FE9BC1D" w:rsidR="00C34061" w:rsidRPr="00940517" w:rsidRDefault="00C34061" w:rsidP="00C34061">
            <w:pPr>
              <w:jc w:val="center"/>
              <w:rPr>
                <w:rFonts w:eastAsiaTheme="minorEastAsia" w:cs="Arial"/>
              </w:rPr>
            </w:pPr>
            <w:r w:rsidRPr="00940517">
              <w:rPr>
                <w:rFonts w:eastAsiaTheme="minorEastAsia" w:cs="Arial"/>
              </w:rPr>
              <w:t>November 16, 2021</w:t>
            </w:r>
          </w:p>
        </w:tc>
        <w:tc>
          <w:tcPr>
            <w:tcW w:w="1179" w:type="pct"/>
            <w:tcBorders>
              <w:top w:val="single" w:sz="4" w:space="0" w:color="auto"/>
              <w:left w:val="single" w:sz="4" w:space="0" w:color="auto"/>
              <w:bottom w:val="single" w:sz="4" w:space="0" w:color="auto"/>
              <w:right w:val="single" w:sz="4" w:space="0" w:color="auto"/>
            </w:tcBorders>
            <w:vAlign w:val="center"/>
          </w:tcPr>
          <w:p w14:paraId="1B270565" w14:textId="454986B6" w:rsidR="00C34061" w:rsidRPr="00940517" w:rsidRDefault="00C34061" w:rsidP="00C34061">
            <w:pPr>
              <w:jc w:val="center"/>
              <w:rPr>
                <w:rFonts w:eastAsiaTheme="minorEastAsia" w:cs="Arial"/>
              </w:rPr>
            </w:pPr>
            <w:r w:rsidRPr="00940517">
              <w:rPr>
                <w:rFonts w:eastAsiaTheme="minorEastAsia" w:cs="Arial"/>
              </w:rPr>
              <w:t xml:space="preserve">California Education Research Association Annual Conference: </w:t>
            </w:r>
            <w:r w:rsidR="00EA2102" w:rsidRPr="00940517">
              <w:rPr>
                <w:rFonts w:eastAsiaTheme="minorEastAsia" w:cs="Arial"/>
              </w:rPr>
              <w:t xml:space="preserve">College </w:t>
            </w:r>
            <w:r w:rsidR="5573DFCD" w:rsidRPr="00940517">
              <w:rPr>
                <w:rFonts w:eastAsiaTheme="minorEastAsia" w:cs="Arial"/>
              </w:rPr>
              <w:t>and Career Indicator: Accountability and Improvement</w:t>
            </w:r>
          </w:p>
        </w:tc>
        <w:tc>
          <w:tcPr>
            <w:tcW w:w="729" w:type="pct"/>
            <w:tcBorders>
              <w:top w:val="single" w:sz="4" w:space="0" w:color="auto"/>
              <w:left w:val="single" w:sz="4" w:space="0" w:color="auto"/>
              <w:bottom w:val="single" w:sz="4" w:space="0" w:color="auto"/>
              <w:right w:val="single" w:sz="4" w:space="0" w:color="auto"/>
            </w:tcBorders>
            <w:vAlign w:val="center"/>
          </w:tcPr>
          <w:p w14:paraId="4306C750" w14:textId="4B755781" w:rsidR="00C34061" w:rsidRPr="00940517" w:rsidRDefault="5573DFCD" w:rsidP="00C34061">
            <w:pPr>
              <w:jc w:val="center"/>
              <w:rPr>
                <w:rFonts w:eastAsiaTheme="minorEastAsia" w:cs="Arial"/>
              </w:rPr>
            </w:pPr>
            <w:r w:rsidRPr="00940517">
              <w:rPr>
                <w:rFonts w:eastAsiaTheme="minorEastAsia" w:cs="Arial"/>
              </w:rPr>
              <w:t>25</w:t>
            </w:r>
          </w:p>
        </w:tc>
        <w:tc>
          <w:tcPr>
            <w:tcW w:w="2156" w:type="pct"/>
            <w:tcBorders>
              <w:top w:val="single" w:sz="4" w:space="0" w:color="auto"/>
              <w:left w:val="single" w:sz="4" w:space="0" w:color="auto"/>
              <w:bottom w:val="single" w:sz="4" w:space="0" w:color="auto"/>
              <w:right w:val="single" w:sz="4" w:space="0" w:color="auto"/>
            </w:tcBorders>
            <w:vAlign w:val="center"/>
          </w:tcPr>
          <w:p w14:paraId="33103F01" w14:textId="392FE326" w:rsidR="00C34061" w:rsidRPr="00940517" w:rsidRDefault="5573DFCD" w:rsidP="00F13890">
            <w:pPr>
              <w:pStyle w:val="NormalWeb"/>
              <w:numPr>
                <w:ilvl w:val="0"/>
                <w:numId w:val="2"/>
              </w:numPr>
              <w:spacing w:before="0" w:beforeAutospacing="0" w:after="0" w:afterAutospacing="0"/>
              <w:rPr>
                <w:rFonts w:cs="Arial"/>
                <w:color w:val="000000"/>
              </w:rPr>
            </w:pPr>
            <w:r w:rsidRPr="00940517">
              <w:rPr>
                <w:rFonts w:cs="Arial"/>
                <w:color w:val="000000" w:themeColor="text1"/>
              </w:rPr>
              <w:t>History of accountability in California</w:t>
            </w:r>
          </w:p>
          <w:p w14:paraId="065A0693" w14:textId="4FC756C9" w:rsidR="00C34061" w:rsidRPr="00940517" w:rsidRDefault="5573DFCD" w:rsidP="00F13890">
            <w:pPr>
              <w:pStyle w:val="NormalWeb"/>
              <w:numPr>
                <w:ilvl w:val="0"/>
                <w:numId w:val="2"/>
              </w:numPr>
              <w:spacing w:before="0" w:beforeAutospacing="0" w:after="0" w:afterAutospacing="0"/>
              <w:rPr>
                <w:color w:val="000000"/>
              </w:rPr>
            </w:pPr>
            <w:r w:rsidRPr="00940517">
              <w:rPr>
                <w:rFonts w:eastAsia="MS Mincho" w:cs="Arial"/>
                <w:color w:val="000000" w:themeColor="text1"/>
              </w:rPr>
              <w:t>Overview of the Dashboard and state and local indicators</w:t>
            </w:r>
          </w:p>
          <w:p w14:paraId="3B8CFFBB" w14:textId="1B427679" w:rsidR="00C34061" w:rsidRPr="00940517" w:rsidRDefault="5573DFCD" w:rsidP="00F13890">
            <w:pPr>
              <w:pStyle w:val="NormalWeb"/>
              <w:numPr>
                <w:ilvl w:val="0"/>
                <w:numId w:val="2"/>
              </w:numPr>
              <w:spacing w:before="0" w:beforeAutospacing="0" w:after="0" w:afterAutospacing="0"/>
              <w:rPr>
                <w:color w:val="000000"/>
              </w:rPr>
            </w:pPr>
            <w:r w:rsidRPr="00940517">
              <w:rPr>
                <w:rFonts w:eastAsia="MS Mincho" w:cs="Arial"/>
                <w:color w:val="000000" w:themeColor="text1"/>
              </w:rPr>
              <w:t xml:space="preserve">Overview of the College Career Readiness Indicator and review of the </w:t>
            </w:r>
            <w:proofErr w:type="gramStart"/>
            <w:r w:rsidRPr="00940517">
              <w:rPr>
                <w:rFonts w:eastAsia="MS Mincho" w:cs="Arial"/>
                <w:color w:val="000000" w:themeColor="text1"/>
              </w:rPr>
              <w:t>pathways</w:t>
            </w:r>
            <w:proofErr w:type="gramEnd"/>
            <w:r w:rsidRPr="00940517">
              <w:rPr>
                <w:rFonts w:eastAsia="MS Mincho" w:cs="Arial"/>
                <w:color w:val="000000" w:themeColor="text1"/>
              </w:rPr>
              <w:t xml:space="preserve"> students take in order to be considered prepared</w:t>
            </w:r>
          </w:p>
        </w:tc>
      </w:tr>
    </w:tbl>
    <w:p w14:paraId="611A8BF6" w14:textId="77777777" w:rsidR="00AF4668" w:rsidRPr="00940517" w:rsidRDefault="00AF4668" w:rsidP="002C26FE">
      <w:pPr>
        <w:spacing w:after="160" w:line="259" w:lineRule="auto"/>
        <w:rPr>
          <w:rFonts w:eastAsiaTheme="majorEastAsia" w:cs="Arial"/>
          <w:b/>
        </w:rPr>
      </w:pPr>
      <w:r w:rsidRPr="00940517">
        <w:rPr>
          <w:rFonts w:cs="Arial"/>
        </w:rPr>
        <w:br w:type="page"/>
      </w:r>
    </w:p>
    <w:p w14:paraId="19563FC7" w14:textId="305CDEFE" w:rsidR="006F6D12" w:rsidRPr="00940517" w:rsidRDefault="006F6D12" w:rsidP="001C57C2">
      <w:pPr>
        <w:pStyle w:val="Heading4"/>
        <w:rPr>
          <w:szCs w:val="28"/>
        </w:rPr>
      </w:pPr>
      <w:r w:rsidRPr="00940517">
        <w:lastRenderedPageBreak/>
        <w:t>Table 3</w:t>
      </w:r>
      <w:r w:rsidR="00315BEC" w:rsidRPr="00940517">
        <w:t xml:space="preserve">: </w:t>
      </w:r>
      <w:r w:rsidR="00B204D6" w:rsidRPr="00940517">
        <w:t>Virtual</w:t>
      </w:r>
      <w:r w:rsidR="004A31D2" w:rsidRPr="00940517">
        <w:t xml:space="preserve"> Meetings</w:t>
      </w:r>
    </w:p>
    <w:tbl>
      <w:tblPr>
        <w:tblStyle w:val="TableGrid"/>
        <w:tblW w:w="13225" w:type="dxa"/>
        <w:tblLook w:val="04A0" w:firstRow="1" w:lastRow="0" w:firstColumn="1" w:lastColumn="0" w:noHBand="0" w:noVBand="1"/>
        <w:tblCaption w:val="Table 3 Virtual Meetings"/>
        <w:tblDescription w:val="Dates and topics covered during virtual meetings from 2021 through February 2022."/>
      </w:tblPr>
      <w:tblGrid>
        <w:gridCol w:w="2250"/>
        <w:gridCol w:w="3145"/>
        <w:gridCol w:w="1980"/>
        <w:gridCol w:w="5850"/>
      </w:tblGrid>
      <w:tr w:rsidR="006F6D12" w:rsidRPr="00940517" w14:paraId="4DF2684C" w14:textId="77777777" w:rsidTr="0E36A200">
        <w:trPr>
          <w:cantSplit/>
          <w:tblHeader/>
        </w:trPr>
        <w:tc>
          <w:tcPr>
            <w:tcW w:w="22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D9737C" w14:textId="77777777" w:rsidR="006F6D12" w:rsidRPr="00940517" w:rsidRDefault="006F6D12" w:rsidP="00006EC2">
            <w:pPr>
              <w:jc w:val="center"/>
              <w:rPr>
                <w:rFonts w:cs="Arial"/>
                <w:b/>
              </w:rPr>
            </w:pPr>
            <w:r w:rsidRPr="00940517">
              <w:rPr>
                <w:rFonts w:cs="Arial"/>
                <w:b/>
              </w:rPr>
              <w:t>Date</w:t>
            </w:r>
          </w:p>
        </w:tc>
        <w:tc>
          <w:tcPr>
            <w:tcW w:w="31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302CBE" w14:textId="77777777" w:rsidR="006F6D12" w:rsidRPr="00940517" w:rsidRDefault="006F6D12" w:rsidP="00006EC2">
            <w:pPr>
              <w:jc w:val="center"/>
              <w:rPr>
                <w:rFonts w:cs="Arial"/>
                <w:b/>
              </w:rPr>
            </w:pPr>
            <w:r w:rsidRPr="00940517">
              <w:rPr>
                <w:rFonts w:cs="Arial"/>
                <w:b/>
              </w:rPr>
              <w:t>Title</w:t>
            </w:r>
          </w:p>
        </w:tc>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3166EB" w14:textId="77777777" w:rsidR="006F6D12" w:rsidRPr="00940517" w:rsidRDefault="006F6D12" w:rsidP="00006EC2">
            <w:pPr>
              <w:jc w:val="center"/>
              <w:rPr>
                <w:rFonts w:cs="Arial"/>
                <w:b/>
              </w:rPr>
            </w:pPr>
            <w:r w:rsidRPr="00940517">
              <w:rPr>
                <w:rFonts w:cs="Arial"/>
                <w:b/>
              </w:rPr>
              <w:t>Estimated Number of Attendees</w:t>
            </w:r>
          </w:p>
        </w:tc>
        <w:tc>
          <w:tcPr>
            <w:tcW w:w="5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E45FC72" w14:textId="77777777" w:rsidR="006F6D12" w:rsidRPr="00940517" w:rsidRDefault="006F6D12" w:rsidP="00006EC2">
            <w:pPr>
              <w:jc w:val="center"/>
              <w:rPr>
                <w:rFonts w:cs="Arial"/>
                <w:b/>
              </w:rPr>
            </w:pPr>
            <w:r w:rsidRPr="00940517">
              <w:rPr>
                <w:rFonts w:cs="Arial"/>
                <w:b/>
              </w:rPr>
              <w:t>Topics</w:t>
            </w:r>
          </w:p>
        </w:tc>
      </w:tr>
      <w:tr w:rsidR="007D0EDF" w:rsidRPr="00940517" w14:paraId="3B8EFCA5"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2211BF78" w14:textId="0F196E6F" w:rsidR="007D0EDF" w:rsidRPr="00940517" w:rsidRDefault="007D0EDF" w:rsidP="00006EC2">
            <w:pPr>
              <w:jc w:val="center"/>
              <w:rPr>
                <w:rFonts w:eastAsiaTheme="minorHAnsi" w:cs="Arial"/>
              </w:rPr>
            </w:pPr>
            <w:r w:rsidRPr="00940517">
              <w:rPr>
                <w:rFonts w:eastAsiaTheme="minorHAnsi" w:cs="Arial"/>
              </w:rPr>
              <w:t>January 15, 2021</w:t>
            </w:r>
          </w:p>
        </w:tc>
        <w:tc>
          <w:tcPr>
            <w:tcW w:w="3145" w:type="dxa"/>
            <w:tcBorders>
              <w:top w:val="single" w:sz="4" w:space="0" w:color="auto"/>
              <w:left w:val="single" w:sz="4" w:space="0" w:color="auto"/>
              <w:bottom w:val="single" w:sz="4" w:space="0" w:color="auto"/>
              <w:right w:val="single" w:sz="4" w:space="0" w:color="auto"/>
            </w:tcBorders>
            <w:vAlign w:val="center"/>
          </w:tcPr>
          <w:p w14:paraId="1DEB148B" w14:textId="4C9387C9" w:rsidR="007D0EDF" w:rsidRPr="00940517" w:rsidRDefault="007D0EDF" w:rsidP="00006EC2">
            <w:pPr>
              <w:jc w:val="center"/>
              <w:rPr>
                <w:rFonts w:cs="Arial"/>
              </w:rPr>
            </w:pPr>
            <w:r w:rsidRPr="00940517">
              <w:rPr>
                <w:rFonts w:cs="Arial"/>
              </w:rPr>
              <w:t xml:space="preserve">State and Federal Program Directors </w:t>
            </w:r>
            <w:r w:rsidR="00150E61" w:rsidRPr="00940517">
              <w:rPr>
                <w:rFonts w:cs="Arial"/>
              </w:rPr>
              <w:t xml:space="preserve">(SFSD) </w:t>
            </w:r>
            <w:r w:rsidRPr="00940517">
              <w:rPr>
                <w:rFonts w:cs="Arial"/>
              </w:rPr>
              <w:t>Meeting</w:t>
            </w:r>
          </w:p>
        </w:tc>
        <w:tc>
          <w:tcPr>
            <w:tcW w:w="1980" w:type="dxa"/>
            <w:tcBorders>
              <w:top w:val="single" w:sz="4" w:space="0" w:color="auto"/>
              <w:left w:val="single" w:sz="4" w:space="0" w:color="auto"/>
              <w:bottom w:val="single" w:sz="4" w:space="0" w:color="auto"/>
              <w:right w:val="single" w:sz="4" w:space="0" w:color="auto"/>
            </w:tcBorders>
            <w:vAlign w:val="center"/>
          </w:tcPr>
          <w:p w14:paraId="5E7FE9F1" w14:textId="16F4042B" w:rsidR="007D0EDF" w:rsidRPr="00940517" w:rsidRDefault="008C0516" w:rsidP="00006EC2">
            <w:pPr>
              <w:jc w:val="center"/>
              <w:rPr>
                <w:rFonts w:eastAsiaTheme="minorHAnsi" w:cs="Arial"/>
              </w:rPr>
            </w:pPr>
            <w:r w:rsidRPr="00940517">
              <w:rPr>
                <w:rFonts w:eastAsiaTheme="minorHAnsi" w:cs="Arial"/>
              </w:rPr>
              <w:t>391</w:t>
            </w:r>
          </w:p>
        </w:tc>
        <w:tc>
          <w:tcPr>
            <w:tcW w:w="5850" w:type="dxa"/>
            <w:tcBorders>
              <w:top w:val="single" w:sz="4" w:space="0" w:color="auto"/>
              <w:left w:val="single" w:sz="4" w:space="0" w:color="auto"/>
              <w:bottom w:val="single" w:sz="4" w:space="0" w:color="auto"/>
              <w:right w:val="single" w:sz="4" w:space="0" w:color="auto"/>
            </w:tcBorders>
            <w:vAlign w:val="center"/>
          </w:tcPr>
          <w:p w14:paraId="338CE8BB" w14:textId="42FD9075" w:rsidR="00C65164" w:rsidRPr="00940517" w:rsidRDefault="008974BE" w:rsidP="00F13890">
            <w:pPr>
              <w:pStyle w:val="ListParagraph"/>
              <w:numPr>
                <w:ilvl w:val="0"/>
                <w:numId w:val="2"/>
              </w:numPr>
              <w:rPr>
                <w:rFonts w:cs="Arial"/>
                <w:color w:val="000000"/>
              </w:rPr>
            </w:pPr>
            <w:r w:rsidRPr="00940517">
              <w:rPr>
                <w:rFonts w:eastAsiaTheme="minorEastAsia" w:cs="Arial"/>
                <w:color w:val="000000" w:themeColor="text1"/>
              </w:rPr>
              <w:t>Update on the Dashboard and Accountability Reporting</w:t>
            </w:r>
          </w:p>
          <w:p w14:paraId="3FC9211B" w14:textId="42FD9075" w:rsidR="00C65164" w:rsidRPr="00940517" w:rsidRDefault="008974BE" w:rsidP="00F13890">
            <w:pPr>
              <w:pStyle w:val="ListParagraph"/>
              <w:numPr>
                <w:ilvl w:val="0"/>
                <w:numId w:val="2"/>
              </w:numPr>
              <w:rPr>
                <w:rFonts w:cs="Arial"/>
                <w:color w:val="000000"/>
              </w:rPr>
            </w:pPr>
            <w:r w:rsidRPr="00940517">
              <w:rPr>
                <w:rFonts w:eastAsiaTheme="minorEastAsia" w:cs="Arial"/>
                <w:color w:val="000000" w:themeColor="text1"/>
              </w:rPr>
              <w:t>Opportunity to Submit One-Year Amendments to State Every Student Succeeds Act (ESSA) Plan</w:t>
            </w:r>
          </w:p>
          <w:p w14:paraId="6C3EAD65" w14:textId="42FD9075" w:rsidR="007D0EDF" w:rsidRPr="00940517" w:rsidRDefault="008974BE" w:rsidP="00F13890">
            <w:pPr>
              <w:pStyle w:val="ListParagraph"/>
              <w:numPr>
                <w:ilvl w:val="0"/>
                <w:numId w:val="2"/>
              </w:numPr>
              <w:rPr>
                <w:rFonts w:cs="Arial"/>
                <w:color w:val="000000"/>
              </w:rPr>
            </w:pPr>
            <w:r w:rsidRPr="00940517">
              <w:rPr>
                <w:rFonts w:eastAsiaTheme="minorEastAsia" w:cs="Arial"/>
                <w:color w:val="000000" w:themeColor="text1"/>
              </w:rPr>
              <w:t>Update on the Student Growth Model</w:t>
            </w:r>
          </w:p>
        </w:tc>
      </w:tr>
      <w:tr w:rsidR="006F6D12" w:rsidRPr="00940517" w14:paraId="5638DEB4"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7DE8FA83" w14:textId="392FFCA3" w:rsidR="006F6D12" w:rsidRPr="00940517" w:rsidRDefault="00AA4DB1" w:rsidP="00006EC2">
            <w:pPr>
              <w:jc w:val="center"/>
              <w:rPr>
                <w:rFonts w:eastAsiaTheme="minorHAnsi" w:cs="Arial"/>
              </w:rPr>
            </w:pPr>
            <w:r w:rsidRPr="00940517">
              <w:rPr>
                <w:rFonts w:eastAsiaTheme="minorHAnsi" w:cs="Arial"/>
              </w:rPr>
              <w:t>February 3, 2021</w:t>
            </w:r>
          </w:p>
        </w:tc>
        <w:tc>
          <w:tcPr>
            <w:tcW w:w="3145" w:type="dxa"/>
            <w:tcBorders>
              <w:top w:val="single" w:sz="4" w:space="0" w:color="auto"/>
              <w:left w:val="single" w:sz="4" w:space="0" w:color="auto"/>
              <w:bottom w:val="single" w:sz="4" w:space="0" w:color="auto"/>
              <w:right w:val="single" w:sz="4" w:space="0" w:color="auto"/>
            </w:tcBorders>
            <w:vAlign w:val="center"/>
          </w:tcPr>
          <w:p w14:paraId="6DDF7331" w14:textId="3B2325B7" w:rsidR="006F6D12" w:rsidRPr="00940517" w:rsidRDefault="00AA4DB1" w:rsidP="00006EC2">
            <w:pPr>
              <w:jc w:val="center"/>
              <w:rPr>
                <w:rFonts w:cs="Arial"/>
              </w:rPr>
            </w:pPr>
            <w:r w:rsidRPr="00940517">
              <w:rPr>
                <w:rFonts w:cs="Arial"/>
              </w:rPr>
              <w:t>San Diego C</w:t>
            </w:r>
            <w:r w:rsidR="004439FA" w:rsidRPr="00940517">
              <w:rPr>
                <w:rFonts w:cs="Arial"/>
              </w:rPr>
              <w:t xml:space="preserve">areer </w:t>
            </w:r>
            <w:r w:rsidRPr="00940517">
              <w:rPr>
                <w:rFonts w:cs="Arial"/>
              </w:rPr>
              <w:t>T</w:t>
            </w:r>
            <w:r w:rsidR="004439FA" w:rsidRPr="00940517">
              <w:rPr>
                <w:rFonts w:cs="Arial"/>
              </w:rPr>
              <w:t xml:space="preserve">echnical </w:t>
            </w:r>
            <w:r w:rsidRPr="00940517">
              <w:rPr>
                <w:rFonts w:cs="Arial"/>
              </w:rPr>
              <w:t>E</w:t>
            </w:r>
            <w:r w:rsidR="004439FA" w:rsidRPr="00940517">
              <w:rPr>
                <w:rFonts w:cs="Arial"/>
              </w:rPr>
              <w:t>ducation (CTE)</w:t>
            </w:r>
            <w:r w:rsidRPr="00940517">
              <w:rPr>
                <w:rFonts w:cs="Arial"/>
              </w:rPr>
              <w:t xml:space="preserve"> Leaders Network Meeting </w:t>
            </w:r>
          </w:p>
        </w:tc>
        <w:tc>
          <w:tcPr>
            <w:tcW w:w="1980" w:type="dxa"/>
            <w:tcBorders>
              <w:top w:val="single" w:sz="4" w:space="0" w:color="auto"/>
              <w:left w:val="single" w:sz="4" w:space="0" w:color="auto"/>
              <w:bottom w:val="single" w:sz="4" w:space="0" w:color="auto"/>
              <w:right w:val="single" w:sz="4" w:space="0" w:color="auto"/>
            </w:tcBorders>
            <w:vAlign w:val="center"/>
          </w:tcPr>
          <w:p w14:paraId="30530587" w14:textId="580B49D3" w:rsidR="006F6D12" w:rsidRPr="00940517" w:rsidRDefault="00442A27" w:rsidP="780A6C06">
            <w:pPr>
              <w:jc w:val="center"/>
              <w:rPr>
                <w:rFonts w:eastAsiaTheme="minorEastAsia" w:cs="Arial"/>
              </w:rPr>
            </w:pPr>
            <w:r w:rsidRPr="00940517">
              <w:rPr>
                <w:rFonts w:eastAsiaTheme="minorEastAsia" w:cs="Arial"/>
              </w:rPr>
              <w:t>37</w:t>
            </w:r>
          </w:p>
        </w:tc>
        <w:tc>
          <w:tcPr>
            <w:tcW w:w="5850" w:type="dxa"/>
            <w:tcBorders>
              <w:top w:val="single" w:sz="4" w:space="0" w:color="auto"/>
              <w:left w:val="single" w:sz="4" w:space="0" w:color="auto"/>
              <w:bottom w:val="single" w:sz="4" w:space="0" w:color="auto"/>
              <w:right w:val="single" w:sz="4" w:space="0" w:color="auto"/>
            </w:tcBorders>
            <w:vAlign w:val="center"/>
          </w:tcPr>
          <w:p w14:paraId="7C07E714" w14:textId="740D2E94" w:rsidR="006F6D12" w:rsidRPr="00940517" w:rsidRDefault="00F76B43" w:rsidP="00F13890">
            <w:pPr>
              <w:pStyle w:val="ListParagraph"/>
              <w:numPr>
                <w:ilvl w:val="0"/>
                <w:numId w:val="2"/>
              </w:numPr>
              <w:rPr>
                <w:rFonts w:cs="Arial"/>
                <w:color w:val="000000"/>
              </w:rPr>
            </w:pPr>
            <w:r w:rsidRPr="00940517">
              <w:rPr>
                <w:rFonts w:cs="Arial"/>
                <w:color w:val="000000"/>
              </w:rPr>
              <w:t>Update on CCI Measures</w:t>
            </w:r>
          </w:p>
        </w:tc>
      </w:tr>
      <w:tr w:rsidR="008C0516" w:rsidRPr="00940517" w14:paraId="7178CCF9"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112CD152" w14:textId="3286EF9F" w:rsidR="008C0516" w:rsidRPr="00940517" w:rsidRDefault="008C0516" w:rsidP="00006EC2">
            <w:pPr>
              <w:jc w:val="center"/>
              <w:rPr>
                <w:rFonts w:eastAsiaTheme="minorHAnsi" w:cs="Arial"/>
              </w:rPr>
            </w:pPr>
            <w:r w:rsidRPr="00940517">
              <w:rPr>
                <w:rFonts w:eastAsiaTheme="minorHAnsi" w:cs="Arial"/>
              </w:rPr>
              <w:t>February 12, 2021</w:t>
            </w:r>
          </w:p>
        </w:tc>
        <w:tc>
          <w:tcPr>
            <w:tcW w:w="3145" w:type="dxa"/>
            <w:tcBorders>
              <w:top w:val="single" w:sz="4" w:space="0" w:color="auto"/>
              <w:left w:val="single" w:sz="4" w:space="0" w:color="auto"/>
              <w:bottom w:val="single" w:sz="4" w:space="0" w:color="auto"/>
              <w:right w:val="single" w:sz="4" w:space="0" w:color="auto"/>
            </w:tcBorders>
            <w:vAlign w:val="center"/>
          </w:tcPr>
          <w:p w14:paraId="7F670130" w14:textId="73C3D4B0" w:rsidR="008C0516" w:rsidRPr="00940517" w:rsidRDefault="00266869" w:rsidP="00006EC2">
            <w:pPr>
              <w:jc w:val="center"/>
              <w:rPr>
                <w:rFonts w:cs="Arial"/>
              </w:rPr>
            </w:pPr>
            <w:r w:rsidRPr="00940517">
              <w:rPr>
                <w:rFonts w:cs="Arial"/>
              </w:rPr>
              <w:t xml:space="preserve">State and Federal Program Directors </w:t>
            </w:r>
            <w:r w:rsidR="004439FA" w:rsidRPr="00940517">
              <w:rPr>
                <w:rFonts w:cs="Arial"/>
              </w:rPr>
              <w:t xml:space="preserve">(SFSD) </w:t>
            </w:r>
            <w:r w:rsidRPr="00940517">
              <w:rPr>
                <w:rFonts w:cs="Arial"/>
              </w:rPr>
              <w:t>Meeting</w:t>
            </w:r>
          </w:p>
        </w:tc>
        <w:tc>
          <w:tcPr>
            <w:tcW w:w="1980" w:type="dxa"/>
            <w:tcBorders>
              <w:top w:val="single" w:sz="4" w:space="0" w:color="auto"/>
              <w:left w:val="single" w:sz="4" w:space="0" w:color="auto"/>
              <w:bottom w:val="single" w:sz="4" w:space="0" w:color="auto"/>
              <w:right w:val="single" w:sz="4" w:space="0" w:color="auto"/>
            </w:tcBorders>
            <w:vAlign w:val="center"/>
          </w:tcPr>
          <w:p w14:paraId="2DA59CCD" w14:textId="71BD72DB" w:rsidR="008C0516" w:rsidRPr="00940517" w:rsidRDefault="00266869" w:rsidP="00006EC2">
            <w:pPr>
              <w:jc w:val="center"/>
              <w:rPr>
                <w:rFonts w:eastAsiaTheme="minorHAnsi" w:cs="Arial"/>
              </w:rPr>
            </w:pPr>
            <w:r w:rsidRPr="00940517">
              <w:rPr>
                <w:rFonts w:eastAsiaTheme="minorHAnsi" w:cs="Arial"/>
              </w:rPr>
              <w:t>361</w:t>
            </w:r>
          </w:p>
        </w:tc>
        <w:tc>
          <w:tcPr>
            <w:tcW w:w="5850" w:type="dxa"/>
            <w:tcBorders>
              <w:top w:val="single" w:sz="4" w:space="0" w:color="auto"/>
              <w:left w:val="single" w:sz="4" w:space="0" w:color="auto"/>
              <w:bottom w:val="single" w:sz="4" w:space="0" w:color="auto"/>
              <w:right w:val="single" w:sz="4" w:space="0" w:color="auto"/>
            </w:tcBorders>
            <w:vAlign w:val="center"/>
          </w:tcPr>
          <w:p w14:paraId="457D42CF" w14:textId="018B399D" w:rsidR="008C0516" w:rsidRPr="00940517" w:rsidRDefault="008B50F2" w:rsidP="00F13890">
            <w:pPr>
              <w:pStyle w:val="ListParagraph"/>
              <w:numPr>
                <w:ilvl w:val="0"/>
                <w:numId w:val="2"/>
              </w:numPr>
              <w:rPr>
                <w:rFonts w:cs="Arial"/>
                <w:color w:val="000000"/>
              </w:rPr>
            </w:pPr>
            <w:r w:rsidRPr="00940517">
              <w:rPr>
                <w:rFonts w:cs="Arial"/>
                <w:color w:val="000000"/>
              </w:rPr>
              <w:t>Update on the 2021 Dashboard</w:t>
            </w:r>
          </w:p>
        </w:tc>
      </w:tr>
      <w:tr w:rsidR="00CA4DBF" w:rsidRPr="00940517" w14:paraId="3640B9C8"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5C237D4A" w14:textId="37BB38E9" w:rsidR="00CA4DBF" w:rsidRPr="00940517" w:rsidRDefault="00CA4DBF" w:rsidP="00006EC2">
            <w:pPr>
              <w:jc w:val="center"/>
              <w:rPr>
                <w:rFonts w:eastAsiaTheme="minorHAnsi" w:cs="Arial"/>
              </w:rPr>
            </w:pPr>
            <w:r w:rsidRPr="00940517">
              <w:rPr>
                <w:rFonts w:eastAsiaTheme="minorHAnsi" w:cs="Arial"/>
              </w:rPr>
              <w:t>March 2, 2021</w:t>
            </w:r>
          </w:p>
        </w:tc>
        <w:tc>
          <w:tcPr>
            <w:tcW w:w="3145" w:type="dxa"/>
            <w:tcBorders>
              <w:top w:val="single" w:sz="4" w:space="0" w:color="auto"/>
              <w:left w:val="single" w:sz="4" w:space="0" w:color="auto"/>
              <w:bottom w:val="single" w:sz="4" w:space="0" w:color="auto"/>
              <w:right w:val="single" w:sz="4" w:space="0" w:color="auto"/>
            </w:tcBorders>
            <w:vAlign w:val="center"/>
          </w:tcPr>
          <w:p w14:paraId="588A7957" w14:textId="3BA4BF41" w:rsidR="00CA4DBF" w:rsidRPr="00940517" w:rsidRDefault="00CA4DBF" w:rsidP="00006EC2">
            <w:pPr>
              <w:jc w:val="center"/>
              <w:rPr>
                <w:rFonts w:cs="Arial"/>
              </w:rPr>
            </w:pPr>
            <w:r w:rsidRPr="00940517">
              <w:rPr>
                <w:rFonts w:cs="Arial"/>
              </w:rPr>
              <w:t>Sacramento County Office of Education CTE Group</w:t>
            </w:r>
          </w:p>
        </w:tc>
        <w:tc>
          <w:tcPr>
            <w:tcW w:w="1980" w:type="dxa"/>
            <w:tcBorders>
              <w:top w:val="single" w:sz="4" w:space="0" w:color="auto"/>
              <w:left w:val="single" w:sz="4" w:space="0" w:color="auto"/>
              <w:bottom w:val="single" w:sz="4" w:space="0" w:color="auto"/>
              <w:right w:val="single" w:sz="4" w:space="0" w:color="auto"/>
            </w:tcBorders>
            <w:vAlign w:val="center"/>
          </w:tcPr>
          <w:p w14:paraId="535DE94D" w14:textId="03BBF79A" w:rsidR="00CA4DBF" w:rsidRPr="00940517" w:rsidRDefault="00F76B43" w:rsidP="00006EC2">
            <w:pPr>
              <w:jc w:val="center"/>
              <w:rPr>
                <w:rFonts w:eastAsiaTheme="minorHAnsi" w:cs="Arial"/>
              </w:rPr>
            </w:pPr>
            <w:r w:rsidRPr="00940517">
              <w:rPr>
                <w:rFonts w:eastAsiaTheme="minorHAnsi" w:cs="Arial"/>
              </w:rPr>
              <w:t>22</w:t>
            </w:r>
          </w:p>
        </w:tc>
        <w:tc>
          <w:tcPr>
            <w:tcW w:w="5850" w:type="dxa"/>
            <w:tcBorders>
              <w:top w:val="single" w:sz="4" w:space="0" w:color="auto"/>
              <w:left w:val="single" w:sz="4" w:space="0" w:color="auto"/>
              <w:bottom w:val="single" w:sz="4" w:space="0" w:color="auto"/>
              <w:right w:val="single" w:sz="4" w:space="0" w:color="auto"/>
            </w:tcBorders>
            <w:vAlign w:val="center"/>
          </w:tcPr>
          <w:p w14:paraId="54CC21FD" w14:textId="09D048A5" w:rsidR="00CA4DBF" w:rsidRPr="00940517" w:rsidRDefault="00F76B43" w:rsidP="00F13890">
            <w:pPr>
              <w:pStyle w:val="ListParagraph"/>
              <w:numPr>
                <w:ilvl w:val="0"/>
                <w:numId w:val="2"/>
              </w:numPr>
              <w:rPr>
                <w:rFonts w:cs="Arial"/>
                <w:color w:val="000000"/>
              </w:rPr>
            </w:pPr>
            <w:r w:rsidRPr="00940517">
              <w:rPr>
                <w:rFonts w:cs="Arial"/>
                <w:color w:val="000000"/>
              </w:rPr>
              <w:t>Update on CCI Measures</w:t>
            </w:r>
          </w:p>
        </w:tc>
      </w:tr>
      <w:tr w:rsidR="008C0516" w:rsidRPr="00940517" w14:paraId="69C052F0"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33687788" w14:textId="5DCBCBF4" w:rsidR="008C0516" w:rsidRPr="00940517" w:rsidRDefault="008C0516" w:rsidP="00006EC2">
            <w:pPr>
              <w:jc w:val="center"/>
              <w:rPr>
                <w:rFonts w:eastAsiaTheme="minorHAnsi" w:cs="Arial"/>
              </w:rPr>
            </w:pPr>
            <w:r w:rsidRPr="00940517">
              <w:rPr>
                <w:rFonts w:eastAsiaTheme="minorHAnsi" w:cs="Arial"/>
              </w:rPr>
              <w:t xml:space="preserve">March </w:t>
            </w:r>
            <w:r w:rsidR="008B50F2" w:rsidRPr="00940517">
              <w:rPr>
                <w:rFonts w:eastAsiaTheme="minorHAnsi" w:cs="Arial"/>
              </w:rPr>
              <w:t>19</w:t>
            </w:r>
            <w:r w:rsidRPr="00940517">
              <w:rPr>
                <w:rFonts w:eastAsiaTheme="minorHAnsi" w:cs="Arial"/>
              </w:rPr>
              <w:t>, 2021</w:t>
            </w:r>
          </w:p>
        </w:tc>
        <w:tc>
          <w:tcPr>
            <w:tcW w:w="3145" w:type="dxa"/>
            <w:tcBorders>
              <w:top w:val="single" w:sz="4" w:space="0" w:color="auto"/>
              <w:left w:val="single" w:sz="4" w:space="0" w:color="auto"/>
              <w:bottom w:val="single" w:sz="4" w:space="0" w:color="auto"/>
              <w:right w:val="single" w:sz="4" w:space="0" w:color="auto"/>
            </w:tcBorders>
            <w:vAlign w:val="center"/>
          </w:tcPr>
          <w:p w14:paraId="49BE58B9" w14:textId="029D22F6" w:rsidR="008C0516" w:rsidRPr="00940517" w:rsidRDefault="00266869" w:rsidP="00006EC2">
            <w:pPr>
              <w:jc w:val="center"/>
              <w:rPr>
                <w:rFonts w:cs="Arial"/>
              </w:rPr>
            </w:pPr>
            <w:r w:rsidRPr="00940517">
              <w:rPr>
                <w:rFonts w:cs="Arial"/>
              </w:rPr>
              <w:t>S</w:t>
            </w:r>
            <w:r w:rsidR="004439FA" w:rsidRPr="00940517">
              <w:rPr>
                <w:rFonts w:cs="Arial"/>
              </w:rPr>
              <w:t>FSD</w:t>
            </w:r>
            <w:r w:rsidRPr="00940517">
              <w:rPr>
                <w:rFonts w:cs="Arial"/>
              </w:rPr>
              <w:t xml:space="preserve"> Meeting</w:t>
            </w:r>
          </w:p>
        </w:tc>
        <w:tc>
          <w:tcPr>
            <w:tcW w:w="1980" w:type="dxa"/>
            <w:tcBorders>
              <w:top w:val="single" w:sz="4" w:space="0" w:color="auto"/>
              <w:left w:val="single" w:sz="4" w:space="0" w:color="auto"/>
              <w:bottom w:val="single" w:sz="4" w:space="0" w:color="auto"/>
              <w:right w:val="single" w:sz="4" w:space="0" w:color="auto"/>
            </w:tcBorders>
            <w:vAlign w:val="center"/>
          </w:tcPr>
          <w:p w14:paraId="265E9384" w14:textId="6C6CF2C8" w:rsidR="008C0516" w:rsidRPr="00940517" w:rsidRDefault="00266869" w:rsidP="00006EC2">
            <w:pPr>
              <w:jc w:val="center"/>
              <w:rPr>
                <w:rFonts w:eastAsiaTheme="minorHAnsi" w:cs="Arial"/>
              </w:rPr>
            </w:pPr>
            <w:r w:rsidRPr="00940517">
              <w:rPr>
                <w:rFonts w:eastAsiaTheme="minorHAnsi" w:cs="Arial"/>
              </w:rPr>
              <w:t>384</w:t>
            </w:r>
          </w:p>
        </w:tc>
        <w:tc>
          <w:tcPr>
            <w:tcW w:w="5850" w:type="dxa"/>
            <w:tcBorders>
              <w:top w:val="single" w:sz="4" w:space="0" w:color="auto"/>
              <w:left w:val="single" w:sz="4" w:space="0" w:color="auto"/>
              <w:bottom w:val="single" w:sz="4" w:space="0" w:color="auto"/>
              <w:right w:val="single" w:sz="4" w:space="0" w:color="auto"/>
            </w:tcBorders>
            <w:vAlign w:val="center"/>
          </w:tcPr>
          <w:p w14:paraId="55B74DE7" w14:textId="424E89A6" w:rsidR="00C65164" w:rsidRPr="00940517" w:rsidRDefault="008974BE" w:rsidP="00F13890">
            <w:pPr>
              <w:pStyle w:val="ListParagraph"/>
              <w:numPr>
                <w:ilvl w:val="0"/>
                <w:numId w:val="2"/>
              </w:numPr>
              <w:rPr>
                <w:rFonts w:cs="Arial"/>
                <w:color w:val="000000"/>
              </w:rPr>
            </w:pPr>
            <w:r w:rsidRPr="00940517">
              <w:rPr>
                <w:rFonts w:cs="Arial"/>
                <w:color w:val="000000"/>
              </w:rPr>
              <w:t xml:space="preserve">February and May 2021 SBE Meetings and Accountability Waiver Request to U.S. Department of Education (ED) </w:t>
            </w:r>
          </w:p>
          <w:p w14:paraId="743485CF" w14:textId="77777777" w:rsidR="00C65164" w:rsidRPr="00940517" w:rsidRDefault="008974BE" w:rsidP="00F13890">
            <w:pPr>
              <w:pStyle w:val="ListParagraph"/>
              <w:numPr>
                <w:ilvl w:val="0"/>
                <w:numId w:val="2"/>
              </w:numPr>
              <w:rPr>
                <w:rFonts w:cs="Arial"/>
                <w:color w:val="000000"/>
              </w:rPr>
            </w:pPr>
            <w:r w:rsidRPr="00940517">
              <w:rPr>
                <w:rFonts w:cs="Arial"/>
                <w:color w:val="000000"/>
              </w:rPr>
              <w:t>Future Dashboard Reporting</w:t>
            </w:r>
          </w:p>
          <w:p w14:paraId="1DFE4FCF" w14:textId="77777777" w:rsidR="00C65164" w:rsidRPr="00940517" w:rsidRDefault="008974BE" w:rsidP="00F13890">
            <w:pPr>
              <w:pStyle w:val="ListParagraph"/>
              <w:numPr>
                <w:ilvl w:val="0"/>
                <w:numId w:val="2"/>
              </w:numPr>
              <w:rPr>
                <w:rFonts w:cs="Arial"/>
                <w:color w:val="000000"/>
              </w:rPr>
            </w:pPr>
            <w:r w:rsidRPr="00940517">
              <w:rPr>
                <w:rFonts w:cs="Arial"/>
                <w:color w:val="000000"/>
              </w:rPr>
              <w:t xml:space="preserve">What Data Could We Report in 2021–22?  </w:t>
            </w:r>
          </w:p>
          <w:p w14:paraId="40488A8C" w14:textId="77777777" w:rsidR="00C65164" w:rsidRPr="00940517" w:rsidRDefault="008974BE" w:rsidP="00F13890">
            <w:pPr>
              <w:pStyle w:val="ListParagraph"/>
              <w:numPr>
                <w:ilvl w:val="0"/>
                <w:numId w:val="2"/>
              </w:numPr>
              <w:rPr>
                <w:rFonts w:cs="Arial"/>
                <w:color w:val="000000"/>
              </w:rPr>
            </w:pPr>
            <w:r w:rsidRPr="00940517">
              <w:rPr>
                <w:rFonts w:cs="Arial"/>
                <w:color w:val="000000"/>
              </w:rPr>
              <w:t xml:space="preserve">Review of Modified Dashboard Reports </w:t>
            </w:r>
          </w:p>
          <w:p w14:paraId="154DEE6C" w14:textId="49B10B2C" w:rsidR="008C0516" w:rsidRPr="00940517" w:rsidRDefault="008974BE" w:rsidP="00F13890">
            <w:pPr>
              <w:pStyle w:val="ListParagraph"/>
              <w:numPr>
                <w:ilvl w:val="0"/>
                <w:numId w:val="2"/>
              </w:numPr>
              <w:rPr>
                <w:rFonts w:cs="Arial"/>
                <w:color w:val="000000"/>
              </w:rPr>
            </w:pPr>
            <w:r w:rsidRPr="00940517">
              <w:rPr>
                <w:rFonts w:cs="Arial"/>
                <w:color w:val="000000"/>
              </w:rPr>
              <w:t xml:space="preserve">Feedback from RAN Members </w:t>
            </w:r>
          </w:p>
        </w:tc>
      </w:tr>
      <w:tr w:rsidR="00EA2102" w:rsidRPr="00940517" w14:paraId="00206E14"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37A900E3" w14:textId="2BDD50BC" w:rsidR="00EA2102" w:rsidRPr="00940517" w:rsidRDefault="00EA2102" w:rsidP="00006EC2">
            <w:pPr>
              <w:jc w:val="center"/>
              <w:rPr>
                <w:rFonts w:eastAsiaTheme="minorHAnsi" w:cs="Arial"/>
              </w:rPr>
            </w:pPr>
            <w:r w:rsidRPr="00940517">
              <w:rPr>
                <w:rFonts w:eastAsiaTheme="minorHAnsi" w:cs="Arial"/>
              </w:rPr>
              <w:t>March 24, 2021</w:t>
            </w:r>
          </w:p>
        </w:tc>
        <w:tc>
          <w:tcPr>
            <w:tcW w:w="3145" w:type="dxa"/>
            <w:tcBorders>
              <w:top w:val="single" w:sz="4" w:space="0" w:color="auto"/>
              <w:left w:val="single" w:sz="4" w:space="0" w:color="auto"/>
              <w:bottom w:val="single" w:sz="4" w:space="0" w:color="auto"/>
              <w:right w:val="single" w:sz="4" w:space="0" w:color="auto"/>
            </w:tcBorders>
            <w:vAlign w:val="center"/>
          </w:tcPr>
          <w:p w14:paraId="6993E259" w14:textId="0D6E17A4" w:rsidR="00EA2102" w:rsidRPr="00940517" w:rsidRDefault="00EA2102" w:rsidP="00006EC2">
            <w:pPr>
              <w:jc w:val="center"/>
              <w:rPr>
                <w:rFonts w:cs="Arial"/>
              </w:rPr>
            </w:pPr>
            <w:r w:rsidRPr="00940517">
              <w:rPr>
                <w:rFonts w:cs="Arial"/>
              </w:rPr>
              <w:t>RAN</w:t>
            </w:r>
            <w:r w:rsidR="00150E61" w:rsidRPr="00940517">
              <w:rPr>
                <w:rFonts w:cs="Arial"/>
              </w:rPr>
              <w:t xml:space="preserve"> Meeting</w:t>
            </w:r>
          </w:p>
        </w:tc>
        <w:tc>
          <w:tcPr>
            <w:tcW w:w="1980" w:type="dxa"/>
            <w:tcBorders>
              <w:top w:val="single" w:sz="4" w:space="0" w:color="auto"/>
              <w:left w:val="single" w:sz="4" w:space="0" w:color="auto"/>
              <w:bottom w:val="single" w:sz="4" w:space="0" w:color="auto"/>
              <w:right w:val="single" w:sz="4" w:space="0" w:color="auto"/>
            </w:tcBorders>
            <w:vAlign w:val="center"/>
          </w:tcPr>
          <w:p w14:paraId="695F6106" w14:textId="414644BD" w:rsidR="00EA2102" w:rsidRPr="00940517" w:rsidRDefault="00150E61" w:rsidP="00006EC2">
            <w:pPr>
              <w:jc w:val="center"/>
              <w:rPr>
                <w:rFonts w:eastAsiaTheme="minorHAnsi" w:cs="Arial"/>
              </w:rPr>
            </w:pPr>
            <w:r w:rsidRPr="00940517">
              <w:rPr>
                <w:rFonts w:eastAsiaTheme="minorHAnsi" w:cs="Arial"/>
              </w:rPr>
              <w:t>25</w:t>
            </w:r>
          </w:p>
        </w:tc>
        <w:tc>
          <w:tcPr>
            <w:tcW w:w="5850" w:type="dxa"/>
            <w:tcBorders>
              <w:top w:val="single" w:sz="4" w:space="0" w:color="auto"/>
              <w:left w:val="single" w:sz="4" w:space="0" w:color="auto"/>
              <w:bottom w:val="single" w:sz="4" w:space="0" w:color="auto"/>
              <w:right w:val="single" w:sz="4" w:space="0" w:color="auto"/>
            </w:tcBorders>
            <w:vAlign w:val="center"/>
          </w:tcPr>
          <w:p w14:paraId="413E4A7B" w14:textId="7B589750" w:rsidR="00E77D94" w:rsidRPr="00940517" w:rsidRDefault="00E77D94" w:rsidP="00F13890">
            <w:pPr>
              <w:pStyle w:val="ListParagraph"/>
              <w:numPr>
                <w:ilvl w:val="0"/>
                <w:numId w:val="2"/>
              </w:numPr>
              <w:rPr>
                <w:rFonts w:cs="Arial"/>
                <w:color w:val="000000"/>
              </w:rPr>
            </w:pPr>
            <w:r w:rsidRPr="00940517">
              <w:rPr>
                <w:rFonts w:cs="Arial"/>
                <w:color w:val="000000"/>
              </w:rPr>
              <w:t xml:space="preserve">February and May State Board of Education (SBE) Meetings and Waiver Request to ED </w:t>
            </w:r>
          </w:p>
          <w:p w14:paraId="0DBC2355" w14:textId="77777777" w:rsidR="00E77D94" w:rsidRPr="00940517" w:rsidRDefault="00E77D94" w:rsidP="00F13890">
            <w:pPr>
              <w:pStyle w:val="ListParagraph"/>
              <w:numPr>
                <w:ilvl w:val="0"/>
                <w:numId w:val="2"/>
              </w:numPr>
              <w:rPr>
                <w:rFonts w:cs="Arial"/>
                <w:color w:val="000000"/>
              </w:rPr>
            </w:pPr>
            <w:r w:rsidRPr="00940517">
              <w:rPr>
                <w:rFonts w:cs="Arial"/>
                <w:color w:val="000000"/>
              </w:rPr>
              <w:t>Future Dashboard Reporting</w:t>
            </w:r>
          </w:p>
          <w:p w14:paraId="0B1A0437" w14:textId="3E070165" w:rsidR="00EA2102" w:rsidRPr="00940517" w:rsidRDefault="00E77D94" w:rsidP="00F13890">
            <w:pPr>
              <w:pStyle w:val="ListParagraph"/>
              <w:numPr>
                <w:ilvl w:val="0"/>
                <w:numId w:val="2"/>
              </w:numPr>
              <w:rPr>
                <w:rFonts w:cs="Arial"/>
                <w:color w:val="000000"/>
              </w:rPr>
            </w:pPr>
            <w:r w:rsidRPr="00940517">
              <w:rPr>
                <w:rFonts w:cs="Arial"/>
                <w:color w:val="000000"/>
              </w:rPr>
              <w:t>What Data Could We Report in December 2021?</w:t>
            </w:r>
          </w:p>
        </w:tc>
      </w:tr>
      <w:tr w:rsidR="5754D285" w:rsidRPr="00940517" w14:paraId="431F1969"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4D24A5D1" w14:textId="2B552E2E" w:rsidR="37E4A352" w:rsidRPr="00940517" w:rsidRDefault="37E4A352" w:rsidP="5754D285">
            <w:pPr>
              <w:jc w:val="center"/>
              <w:rPr>
                <w:rFonts w:eastAsiaTheme="minorEastAsia" w:cs="Arial"/>
              </w:rPr>
            </w:pPr>
            <w:r w:rsidRPr="00940517">
              <w:rPr>
                <w:rFonts w:eastAsiaTheme="minorEastAsia" w:cs="Arial"/>
              </w:rPr>
              <w:lastRenderedPageBreak/>
              <w:t>March 30, 2021</w:t>
            </w:r>
          </w:p>
        </w:tc>
        <w:tc>
          <w:tcPr>
            <w:tcW w:w="3145" w:type="dxa"/>
            <w:tcBorders>
              <w:top w:val="single" w:sz="4" w:space="0" w:color="auto"/>
              <w:left w:val="single" w:sz="4" w:space="0" w:color="auto"/>
              <w:bottom w:val="single" w:sz="4" w:space="0" w:color="auto"/>
              <w:right w:val="single" w:sz="4" w:space="0" w:color="auto"/>
            </w:tcBorders>
            <w:vAlign w:val="center"/>
          </w:tcPr>
          <w:p w14:paraId="2DF63D65" w14:textId="1B99CD6F" w:rsidR="37E4A352" w:rsidRPr="00940517" w:rsidRDefault="37E4A352" w:rsidP="5754D285">
            <w:pPr>
              <w:jc w:val="center"/>
              <w:rPr>
                <w:rFonts w:cs="Arial"/>
              </w:rPr>
            </w:pPr>
            <w:r w:rsidRPr="00940517">
              <w:rPr>
                <w:rFonts w:cs="Arial"/>
              </w:rPr>
              <w:t>Bilingual Coordinators Network (BCN)</w:t>
            </w:r>
          </w:p>
        </w:tc>
        <w:tc>
          <w:tcPr>
            <w:tcW w:w="1980" w:type="dxa"/>
            <w:tcBorders>
              <w:top w:val="single" w:sz="4" w:space="0" w:color="auto"/>
              <w:left w:val="single" w:sz="4" w:space="0" w:color="auto"/>
              <w:bottom w:val="single" w:sz="4" w:space="0" w:color="auto"/>
              <w:right w:val="single" w:sz="4" w:space="0" w:color="auto"/>
            </w:tcBorders>
            <w:vAlign w:val="center"/>
          </w:tcPr>
          <w:p w14:paraId="184F737C" w14:textId="2E49606F" w:rsidR="5754D285" w:rsidRPr="00940517" w:rsidRDefault="160FD473" w:rsidP="4ADA05AE">
            <w:pPr>
              <w:jc w:val="center"/>
              <w:rPr>
                <w:rFonts w:cs="Arial"/>
              </w:rPr>
            </w:pPr>
            <w:r w:rsidRPr="00940517">
              <w:rPr>
                <w:rFonts w:cs="Arial"/>
              </w:rPr>
              <w:t>128</w:t>
            </w:r>
          </w:p>
        </w:tc>
        <w:tc>
          <w:tcPr>
            <w:tcW w:w="5850" w:type="dxa"/>
            <w:tcBorders>
              <w:top w:val="single" w:sz="4" w:space="0" w:color="auto"/>
              <w:left w:val="single" w:sz="4" w:space="0" w:color="auto"/>
              <w:bottom w:val="single" w:sz="4" w:space="0" w:color="auto"/>
              <w:right w:val="single" w:sz="4" w:space="0" w:color="auto"/>
            </w:tcBorders>
            <w:vAlign w:val="center"/>
          </w:tcPr>
          <w:p w14:paraId="7B5C5D08" w14:textId="73B3F6EC" w:rsidR="37E4A352" w:rsidRPr="00940517" w:rsidRDefault="37E4A352" w:rsidP="00F13890">
            <w:pPr>
              <w:pStyle w:val="ListParagraph"/>
              <w:numPr>
                <w:ilvl w:val="0"/>
                <w:numId w:val="2"/>
              </w:numPr>
              <w:rPr>
                <w:rFonts w:asciiTheme="minorHAnsi" w:eastAsiaTheme="minorEastAsia" w:hAnsiTheme="minorHAnsi" w:cstheme="minorBidi"/>
                <w:color w:val="000000" w:themeColor="text1"/>
              </w:rPr>
            </w:pPr>
            <w:r w:rsidRPr="00940517">
              <w:rPr>
                <w:rFonts w:eastAsia="Arial" w:cs="Arial"/>
                <w:color w:val="000000" w:themeColor="text1"/>
              </w:rPr>
              <w:t>Accountability Update</w:t>
            </w:r>
          </w:p>
          <w:p w14:paraId="1B58D1A1" w14:textId="0E75607A" w:rsidR="37E4A352" w:rsidRPr="00940517" w:rsidRDefault="37E4A352" w:rsidP="00F13890">
            <w:pPr>
              <w:pStyle w:val="ListParagraph"/>
              <w:numPr>
                <w:ilvl w:val="0"/>
                <w:numId w:val="2"/>
              </w:numPr>
              <w:spacing w:line="216" w:lineRule="auto"/>
              <w:rPr>
                <w:rFonts w:asciiTheme="minorHAnsi" w:eastAsiaTheme="minorEastAsia" w:hAnsiTheme="minorHAnsi" w:cstheme="minorBidi"/>
                <w:color w:val="000000" w:themeColor="text1"/>
              </w:rPr>
            </w:pPr>
            <w:r w:rsidRPr="00940517">
              <w:rPr>
                <w:rFonts w:eastAsia="Arial" w:cs="Arial"/>
                <w:color w:val="000000" w:themeColor="text1"/>
              </w:rPr>
              <w:t>2021–22 Comprehensive Support and Improvement (CSI) and Additional Targeted Support and Improvement (ATSI) Options in the ESSA Flexibility Waiver</w:t>
            </w:r>
          </w:p>
          <w:p w14:paraId="1FA272B3" w14:textId="2F49E335" w:rsidR="37E4A352" w:rsidRPr="00940517" w:rsidRDefault="37E4A352" w:rsidP="00F13890">
            <w:pPr>
              <w:pStyle w:val="ListParagraph"/>
              <w:numPr>
                <w:ilvl w:val="0"/>
                <w:numId w:val="2"/>
              </w:numPr>
              <w:spacing w:line="216" w:lineRule="auto"/>
              <w:rPr>
                <w:rFonts w:asciiTheme="minorHAnsi" w:eastAsiaTheme="minorEastAsia" w:hAnsiTheme="minorHAnsi" w:cstheme="minorBidi"/>
                <w:color w:val="000000" w:themeColor="text1"/>
              </w:rPr>
            </w:pPr>
            <w:r w:rsidRPr="00940517">
              <w:rPr>
                <w:rFonts w:eastAsia="Arial" w:cs="Arial"/>
                <w:color w:val="000000" w:themeColor="text1"/>
              </w:rPr>
              <w:t>2020–21 ELPI Work Plan</w:t>
            </w:r>
          </w:p>
        </w:tc>
      </w:tr>
      <w:tr w:rsidR="00EB4FA5" w:rsidRPr="00940517" w14:paraId="48F74102"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2FCF53B9" w14:textId="50A54BAA" w:rsidR="00EB4FA5" w:rsidRPr="00940517" w:rsidRDefault="00EB4FA5" w:rsidP="75A52BF3">
            <w:pPr>
              <w:jc w:val="center"/>
              <w:rPr>
                <w:rFonts w:cs="Arial"/>
              </w:rPr>
            </w:pPr>
            <w:r w:rsidRPr="00940517">
              <w:rPr>
                <w:rFonts w:cs="Arial"/>
              </w:rPr>
              <w:t>April 28, 2021</w:t>
            </w:r>
          </w:p>
        </w:tc>
        <w:tc>
          <w:tcPr>
            <w:tcW w:w="3145" w:type="dxa"/>
            <w:tcBorders>
              <w:top w:val="single" w:sz="4" w:space="0" w:color="auto"/>
              <w:left w:val="single" w:sz="4" w:space="0" w:color="auto"/>
              <w:bottom w:val="single" w:sz="4" w:space="0" w:color="auto"/>
              <w:right w:val="single" w:sz="4" w:space="0" w:color="auto"/>
            </w:tcBorders>
            <w:vAlign w:val="center"/>
          </w:tcPr>
          <w:p w14:paraId="3FCBA391" w14:textId="4E6AA809" w:rsidR="00EB4FA5" w:rsidRPr="00940517" w:rsidRDefault="00EF2440" w:rsidP="75A52BF3">
            <w:pPr>
              <w:jc w:val="center"/>
              <w:rPr>
                <w:rFonts w:cs="Arial"/>
              </w:rPr>
            </w:pPr>
            <w:r w:rsidRPr="00940517">
              <w:rPr>
                <w:rFonts w:cs="Arial"/>
              </w:rPr>
              <w:t>Armed Services Vocational Aptitude Battery</w:t>
            </w:r>
            <w:r w:rsidR="00C124F8" w:rsidRPr="00940517">
              <w:rPr>
                <w:rFonts w:cs="Arial"/>
              </w:rPr>
              <w:t xml:space="preserve"> </w:t>
            </w:r>
            <w:r w:rsidRPr="00940517">
              <w:rPr>
                <w:rFonts w:cs="Arial"/>
              </w:rPr>
              <w:t xml:space="preserve">(ASVAB) </w:t>
            </w:r>
            <w:r w:rsidR="00EB4FA5" w:rsidRPr="00940517">
              <w:rPr>
                <w:rFonts w:cs="Arial"/>
              </w:rPr>
              <w:t>Reporting System Training</w:t>
            </w:r>
          </w:p>
        </w:tc>
        <w:tc>
          <w:tcPr>
            <w:tcW w:w="1980" w:type="dxa"/>
            <w:tcBorders>
              <w:top w:val="single" w:sz="4" w:space="0" w:color="auto"/>
              <w:left w:val="single" w:sz="4" w:space="0" w:color="auto"/>
              <w:bottom w:val="single" w:sz="4" w:space="0" w:color="auto"/>
              <w:right w:val="single" w:sz="4" w:space="0" w:color="auto"/>
            </w:tcBorders>
            <w:vAlign w:val="center"/>
          </w:tcPr>
          <w:p w14:paraId="024ED6D5" w14:textId="54274A79" w:rsidR="00EB4FA5" w:rsidRPr="00940517" w:rsidRDefault="00EB4FA5" w:rsidP="75A52BF3">
            <w:pPr>
              <w:jc w:val="center"/>
              <w:rPr>
                <w:rFonts w:cs="Arial"/>
              </w:rPr>
            </w:pPr>
            <w:r w:rsidRPr="00940517">
              <w:rPr>
                <w:rFonts w:cs="Arial"/>
              </w:rPr>
              <w:t>557</w:t>
            </w:r>
          </w:p>
        </w:tc>
        <w:tc>
          <w:tcPr>
            <w:tcW w:w="5850" w:type="dxa"/>
            <w:tcBorders>
              <w:top w:val="single" w:sz="4" w:space="0" w:color="auto"/>
              <w:left w:val="single" w:sz="4" w:space="0" w:color="auto"/>
              <w:bottom w:val="single" w:sz="4" w:space="0" w:color="auto"/>
              <w:right w:val="single" w:sz="4" w:space="0" w:color="auto"/>
            </w:tcBorders>
            <w:vAlign w:val="center"/>
          </w:tcPr>
          <w:p w14:paraId="5D5DBBB2" w14:textId="77777777" w:rsidR="00EB4FA5" w:rsidRPr="00940517" w:rsidRDefault="002E7B75" w:rsidP="00F13890">
            <w:pPr>
              <w:pStyle w:val="ListParagraph"/>
              <w:numPr>
                <w:ilvl w:val="0"/>
                <w:numId w:val="2"/>
              </w:numPr>
              <w:rPr>
                <w:rFonts w:eastAsia="Arial" w:cs="Arial"/>
                <w:color w:val="000000" w:themeColor="text1"/>
              </w:rPr>
            </w:pPr>
            <w:r w:rsidRPr="00940517">
              <w:rPr>
                <w:rFonts w:eastAsia="Arial" w:cs="Arial"/>
                <w:color w:val="000000" w:themeColor="text1"/>
              </w:rPr>
              <w:t>Background on the CCI</w:t>
            </w:r>
          </w:p>
          <w:p w14:paraId="25946519" w14:textId="1D4364A2" w:rsidR="0001156F" w:rsidRPr="00940517" w:rsidRDefault="0001156F" w:rsidP="00F13890">
            <w:pPr>
              <w:pStyle w:val="ListParagraph"/>
              <w:numPr>
                <w:ilvl w:val="0"/>
                <w:numId w:val="2"/>
              </w:numPr>
              <w:rPr>
                <w:rFonts w:eastAsia="Arial" w:cs="Arial"/>
                <w:color w:val="000000" w:themeColor="text1"/>
              </w:rPr>
            </w:pPr>
            <w:r w:rsidRPr="00940517">
              <w:rPr>
                <w:rFonts w:eastAsia="Arial" w:cs="Arial"/>
                <w:color w:val="000000" w:themeColor="text1"/>
              </w:rPr>
              <w:t>ASVAB Reporting System</w:t>
            </w:r>
          </w:p>
        </w:tc>
      </w:tr>
      <w:tr w:rsidR="002D25AC" w:rsidRPr="00940517" w14:paraId="5A9A1C20"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0A1BF0EC" w14:textId="735B2B48" w:rsidR="002D25AC" w:rsidRPr="00940517" w:rsidRDefault="002D25AC" w:rsidP="75A52BF3">
            <w:pPr>
              <w:jc w:val="center"/>
              <w:rPr>
                <w:rFonts w:cs="Arial"/>
              </w:rPr>
            </w:pPr>
            <w:r w:rsidRPr="00940517">
              <w:rPr>
                <w:rFonts w:cs="Arial"/>
              </w:rPr>
              <w:t>May 6, 2021</w:t>
            </w:r>
          </w:p>
        </w:tc>
        <w:tc>
          <w:tcPr>
            <w:tcW w:w="3145" w:type="dxa"/>
            <w:tcBorders>
              <w:top w:val="single" w:sz="4" w:space="0" w:color="auto"/>
              <w:left w:val="single" w:sz="4" w:space="0" w:color="auto"/>
              <w:bottom w:val="single" w:sz="4" w:space="0" w:color="auto"/>
              <w:right w:val="single" w:sz="4" w:space="0" w:color="auto"/>
            </w:tcBorders>
            <w:vAlign w:val="center"/>
          </w:tcPr>
          <w:p w14:paraId="6CF656DD" w14:textId="366C3D28" w:rsidR="002D25AC" w:rsidRPr="00940517" w:rsidRDefault="00E83EFC" w:rsidP="00F64D01">
            <w:pPr>
              <w:jc w:val="center"/>
              <w:rPr>
                <w:rFonts w:eastAsia="Arial" w:cs="Arial"/>
                <w:color w:val="000000" w:themeColor="text1"/>
              </w:rPr>
            </w:pPr>
            <w:r w:rsidRPr="00940517">
              <w:rPr>
                <w:rFonts w:eastAsia="Arial" w:cs="Arial"/>
                <w:color w:val="000000" w:themeColor="text1"/>
              </w:rPr>
              <w:t>S</w:t>
            </w:r>
            <w:r w:rsidR="004439FA" w:rsidRPr="00940517">
              <w:rPr>
                <w:rFonts w:eastAsia="Arial" w:cs="Arial"/>
                <w:color w:val="000000" w:themeColor="text1"/>
              </w:rPr>
              <w:t xml:space="preserve">tudent </w:t>
            </w:r>
            <w:r w:rsidRPr="00940517">
              <w:rPr>
                <w:rFonts w:eastAsia="Arial" w:cs="Arial"/>
                <w:color w:val="000000" w:themeColor="text1"/>
              </w:rPr>
              <w:t>P</w:t>
            </w:r>
            <w:r w:rsidR="004439FA" w:rsidRPr="00940517">
              <w:rPr>
                <w:rFonts w:eastAsia="Arial" w:cs="Arial"/>
                <w:color w:val="000000" w:themeColor="text1"/>
              </w:rPr>
              <w:t xml:space="preserve">rograms and </w:t>
            </w:r>
            <w:r w:rsidRPr="00940517">
              <w:rPr>
                <w:rFonts w:eastAsia="Arial" w:cs="Arial"/>
                <w:color w:val="000000" w:themeColor="text1"/>
              </w:rPr>
              <w:t>S</w:t>
            </w:r>
            <w:r w:rsidR="004439FA" w:rsidRPr="00940517">
              <w:rPr>
                <w:rFonts w:eastAsia="Arial" w:cs="Arial"/>
                <w:color w:val="000000" w:themeColor="text1"/>
              </w:rPr>
              <w:t xml:space="preserve">ervices </w:t>
            </w:r>
            <w:r w:rsidRPr="00940517">
              <w:rPr>
                <w:rFonts w:eastAsia="Arial" w:cs="Arial"/>
                <w:color w:val="000000" w:themeColor="text1"/>
              </w:rPr>
              <w:t>S</w:t>
            </w:r>
            <w:r w:rsidR="004439FA" w:rsidRPr="00940517">
              <w:rPr>
                <w:rFonts w:eastAsia="Arial" w:cs="Arial"/>
                <w:color w:val="000000" w:themeColor="text1"/>
              </w:rPr>
              <w:t xml:space="preserve">teering </w:t>
            </w:r>
            <w:r w:rsidRPr="00940517">
              <w:rPr>
                <w:rFonts w:eastAsia="Arial" w:cs="Arial"/>
                <w:color w:val="000000" w:themeColor="text1"/>
              </w:rPr>
              <w:t>C</w:t>
            </w:r>
            <w:r w:rsidR="004439FA" w:rsidRPr="00940517">
              <w:rPr>
                <w:rFonts w:eastAsia="Arial" w:cs="Arial"/>
                <w:color w:val="000000" w:themeColor="text1"/>
              </w:rPr>
              <w:t>ommittee</w:t>
            </w:r>
            <w:r w:rsidRPr="00940517">
              <w:rPr>
                <w:rFonts w:eastAsia="Arial" w:cs="Arial"/>
                <w:color w:val="000000" w:themeColor="text1"/>
              </w:rPr>
              <w:t xml:space="preserve"> </w:t>
            </w:r>
            <w:r w:rsidR="00F64D01" w:rsidRPr="00940517">
              <w:rPr>
                <w:rFonts w:eastAsia="Arial" w:cs="Arial"/>
                <w:color w:val="000000" w:themeColor="text1"/>
              </w:rPr>
              <w:t>M</w:t>
            </w:r>
            <w:r w:rsidRPr="00940517">
              <w:rPr>
                <w:rFonts w:eastAsia="Arial" w:cs="Arial"/>
                <w:color w:val="000000" w:themeColor="text1"/>
              </w:rPr>
              <w:t>eeting</w:t>
            </w:r>
          </w:p>
        </w:tc>
        <w:tc>
          <w:tcPr>
            <w:tcW w:w="1980" w:type="dxa"/>
            <w:tcBorders>
              <w:top w:val="single" w:sz="4" w:space="0" w:color="auto"/>
              <w:left w:val="single" w:sz="4" w:space="0" w:color="auto"/>
              <w:bottom w:val="single" w:sz="4" w:space="0" w:color="auto"/>
              <w:right w:val="single" w:sz="4" w:space="0" w:color="auto"/>
            </w:tcBorders>
            <w:vAlign w:val="center"/>
          </w:tcPr>
          <w:p w14:paraId="416F40EA" w14:textId="5100F9F7" w:rsidR="002D25AC" w:rsidRPr="00940517" w:rsidRDefault="00D33E1D" w:rsidP="75A52BF3">
            <w:pPr>
              <w:jc w:val="center"/>
              <w:rPr>
                <w:rFonts w:cs="Arial"/>
              </w:rPr>
            </w:pPr>
            <w:r w:rsidRPr="00940517">
              <w:rPr>
                <w:rFonts w:cs="Arial"/>
              </w:rPr>
              <w:t>45</w:t>
            </w:r>
          </w:p>
        </w:tc>
        <w:tc>
          <w:tcPr>
            <w:tcW w:w="5850" w:type="dxa"/>
            <w:tcBorders>
              <w:top w:val="single" w:sz="4" w:space="0" w:color="auto"/>
              <w:left w:val="single" w:sz="4" w:space="0" w:color="auto"/>
              <w:bottom w:val="single" w:sz="4" w:space="0" w:color="auto"/>
              <w:right w:val="single" w:sz="4" w:space="0" w:color="auto"/>
            </w:tcBorders>
            <w:vAlign w:val="center"/>
          </w:tcPr>
          <w:p w14:paraId="58163C34" w14:textId="3BFDE0E9" w:rsidR="001E2044" w:rsidRPr="00940517" w:rsidRDefault="00F76B43" w:rsidP="00F13890">
            <w:pPr>
              <w:pStyle w:val="ListParagraph"/>
              <w:numPr>
                <w:ilvl w:val="0"/>
                <w:numId w:val="2"/>
              </w:numPr>
              <w:rPr>
                <w:rFonts w:eastAsia="Arial" w:cs="Arial"/>
                <w:color w:val="000000" w:themeColor="text1"/>
              </w:rPr>
            </w:pPr>
            <w:r w:rsidRPr="00940517">
              <w:rPr>
                <w:rFonts w:eastAsia="Arial" w:cs="Arial"/>
                <w:color w:val="000000" w:themeColor="text1"/>
              </w:rPr>
              <w:t>Update on Accountability</w:t>
            </w:r>
          </w:p>
          <w:p w14:paraId="681073BA" w14:textId="77777777" w:rsidR="001E2044" w:rsidRPr="00940517" w:rsidRDefault="00D33E1D" w:rsidP="00F13890">
            <w:pPr>
              <w:pStyle w:val="ListParagraph"/>
              <w:numPr>
                <w:ilvl w:val="0"/>
                <w:numId w:val="2"/>
              </w:numPr>
              <w:rPr>
                <w:rFonts w:eastAsia="Arial" w:cs="Arial"/>
                <w:color w:val="000000" w:themeColor="text1"/>
              </w:rPr>
            </w:pPr>
            <w:r w:rsidRPr="00940517">
              <w:rPr>
                <w:rFonts w:eastAsia="Arial" w:cs="Arial"/>
                <w:color w:val="000000" w:themeColor="text1"/>
              </w:rPr>
              <w:t>Work Conducted with Alternative Schools Task Force</w:t>
            </w:r>
          </w:p>
          <w:p w14:paraId="641A28BF" w14:textId="609838D8" w:rsidR="002D25AC" w:rsidRPr="00940517" w:rsidRDefault="00C17F19" w:rsidP="00F13890">
            <w:pPr>
              <w:pStyle w:val="ListParagraph"/>
              <w:numPr>
                <w:ilvl w:val="0"/>
                <w:numId w:val="2"/>
              </w:numPr>
              <w:rPr>
                <w:rFonts w:eastAsia="Arial" w:cs="Arial"/>
                <w:color w:val="000000" w:themeColor="text1"/>
              </w:rPr>
            </w:pPr>
            <w:r w:rsidRPr="00940517">
              <w:rPr>
                <w:rFonts w:eastAsia="Arial" w:cs="Arial"/>
                <w:color w:val="000000" w:themeColor="text1"/>
              </w:rPr>
              <w:t xml:space="preserve">Update on the CCI </w:t>
            </w:r>
          </w:p>
        </w:tc>
      </w:tr>
      <w:tr w:rsidR="00150E61" w:rsidRPr="00940517" w14:paraId="059A4915"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04039C1F" w14:textId="297C45B5" w:rsidR="00150E61" w:rsidRPr="00940517" w:rsidRDefault="00150E61" w:rsidP="75A52BF3">
            <w:pPr>
              <w:jc w:val="center"/>
              <w:rPr>
                <w:rFonts w:cs="Arial"/>
              </w:rPr>
            </w:pPr>
            <w:r w:rsidRPr="00940517">
              <w:rPr>
                <w:rFonts w:cs="Arial"/>
              </w:rPr>
              <w:t>May 19, 2021</w:t>
            </w:r>
          </w:p>
        </w:tc>
        <w:tc>
          <w:tcPr>
            <w:tcW w:w="3145" w:type="dxa"/>
            <w:tcBorders>
              <w:top w:val="single" w:sz="4" w:space="0" w:color="auto"/>
              <w:left w:val="single" w:sz="4" w:space="0" w:color="auto"/>
              <w:bottom w:val="single" w:sz="4" w:space="0" w:color="auto"/>
              <w:right w:val="single" w:sz="4" w:space="0" w:color="auto"/>
            </w:tcBorders>
            <w:vAlign w:val="center"/>
          </w:tcPr>
          <w:p w14:paraId="198909D6" w14:textId="7D259F0E" w:rsidR="00150E61" w:rsidRPr="00940517" w:rsidRDefault="00150E61" w:rsidP="75A52BF3">
            <w:pPr>
              <w:jc w:val="center"/>
              <w:rPr>
                <w:rFonts w:cs="Arial"/>
              </w:rPr>
            </w:pPr>
            <w:r w:rsidRPr="00940517">
              <w:rPr>
                <w:rFonts w:cs="Arial"/>
              </w:rPr>
              <w:t>RAN Meeting</w:t>
            </w:r>
          </w:p>
        </w:tc>
        <w:tc>
          <w:tcPr>
            <w:tcW w:w="1980" w:type="dxa"/>
            <w:tcBorders>
              <w:top w:val="single" w:sz="4" w:space="0" w:color="auto"/>
              <w:left w:val="single" w:sz="4" w:space="0" w:color="auto"/>
              <w:bottom w:val="single" w:sz="4" w:space="0" w:color="auto"/>
              <w:right w:val="single" w:sz="4" w:space="0" w:color="auto"/>
            </w:tcBorders>
            <w:vAlign w:val="center"/>
          </w:tcPr>
          <w:p w14:paraId="394B0F8A" w14:textId="2B2DBC0E" w:rsidR="00150E61" w:rsidRPr="00940517" w:rsidRDefault="00150E61" w:rsidP="75A52BF3">
            <w:pPr>
              <w:jc w:val="center"/>
              <w:rPr>
                <w:rFonts w:cs="Arial"/>
              </w:rPr>
            </w:pPr>
            <w:r w:rsidRPr="00940517">
              <w:rPr>
                <w:rFonts w:cs="Arial"/>
              </w:rPr>
              <w:t>30</w:t>
            </w:r>
          </w:p>
        </w:tc>
        <w:tc>
          <w:tcPr>
            <w:tcW w:w="5850" w:type="dxa"/>
            <w:tcBorders>
              <w:top w:val="single" w:sz="4" w:space="0" w:color="auto"/>
              <w:left w:val="single" w:sz="4" w:space="0" w:color="auto"/>
              <w:bottom w:val="single" w:sz="4" w:space="0" w:color="auto"/>
              <w:right w:val="single" w:sz="4" w:space="0" w:color="auto"/>
            </w:tcBorders>
            <w:vAlign w:val="center"/>
          </w:tcPr>
          <w:p w14:paraId="626B0940" w14:textId="77777777" w:rsidR="00E77D94" w:rsidRPr="00940517" w:rsidRDefault="00E77D94" w:rsidP="00150E61">
            <w:pPr>
              <w:rPr>
                <w:rFonts w:eastAsia="Arial" w:cs="Arial"/>
                <w:color w:val="000000" w:themeColor="text1"/>
              </w:rPr>
            </w:pPr>
            <w:r w:rsidRPr="00940517">
              <w:rPr>
                <w:rFonts w:eastAsia="Arial" w:cs="Arial"/>
                <w:color w:val="000000" w:themeColor="text1"/>
              </w:rPr>
              <w:t xml:space="preserve">Growth Model: </w:t>
            </w:r>
          </w:p>
          <w:p w14:paraId="3F4ED449" w14:textId="46CDFC62" w:rsidR="00E77D94" w:rsidRPr="00940517" w:rsidRDefault="00E77D94" w:rsidP="00F13890">
            <w:pPr>
              <w:pStyle w:val="ListParagraph"/>
              <w:numPr>
                <w:ilvl w:val="0"/>
                <w:numId w:val="2"/>
              </w:numPr>
              <w:rPr>
                <w:rFonts w:eastAsia="Arial" w:cs="Arial"/>
                <w:color w:val="000000" w:themeColor="text1"/>
              </w:rPr>
            </w:pPr>
            <w:r w:rsidRPr="00940517">
              <w:rPr>
                <w:rFonts w:eastAsia="Arial" w:cs="Arial"/>
                <w:color w:val="000000" w:themeColor="text1"/>
              </w:rPr>
              <w:t xml:space="preserve">May 2021 SBE </w:t>
            </w:r>
          </w:p>
          <w:p w14:paraId="4E32CDE9" w14:textId="77777777" w:rsidR="00E77D94" w:rsidRPr="00940517" w:rsidRDefault="00E77D94" w:rsidP="00F13890">
            <w:pPr>
              <w:pStyle w:val="ListParagraph"/>
              <w:numPr>
                <w:ilvl w:val="0"/>
                <w:numId w:val="2"/>
              </w:numPr>
              <w:rPr>
                <w:rFonts w:eastAsia="Arial" w:cs="Arial"/>
                <w:color w:val="000000" w:themeColor="text1"/>
              </w:rPr>
            </w:pPr>
            <w:r w:rsidRPr="00940517">
              <w:rPr>
                <w:rFonts w:eastAsia="Arial" w:cs="Arial"/>
                <w:color w:val="000000" w:themeColor="text1"/>
              </w:rPr>
              <w:t>Review of the Estimated Best Linear Prediction (EBLP)</w:t>
            </w:r>
          </w:p>
          <w:p w14:paraId="0E1231DF" w14:textId="77777777" w:rsidR="00E77D94" w:rsidRPr="00940517" w:rsidRDefault="00E77D94" w:rsidP="00F13890">
            <w:pPr>
              <w:pStyle w:val="ListParagraph"/>
              <w:numPr>
                <w:ilvl w:val="0"/>
                <w:numId w:val="2"/>
              </w:numPr>
              <w:rPr>
                <w:rFonts w:eastAsia="Arial" w:cs="Arial"/>
                <w:color w:val="000000" w:themeColor="text1"/>
              </w:rPr>
            </w:pPr>
            <w:r w:rsidRPr="00940517">
              <w:rPr>
                <w:rFonts w:eastAsia="Arial" w:cs="Arial"/>
                <w:color w:val="000000" w:themeColor="text1"/>
              </w:rPr>
              <w:t>Release of Data Files and Webinar</w:t>
            </w:r>
          </w:p>
          <w:p w14:paraId="6B1003C3" w14:textId="1FB5E672" w:rsidR="00E77D94" w:rsidRPr="00940517" w:rsidRDefault="00E77D94" w:rsidP="00150E61">
            <w:pPr>
              <w:rPr>
                <w:rFonts w:eastAsia="Arial" w:cs="Arial"/>
                <w:color w:val="000000" w:themeColor="text1"/>
              </w:rPr>
            </w:pPr>
            <w:r w:rsidRPr="00940517">
              <w:rPr>
                <w:rFonts w:eastAsia="Arial" w:cs="Arial"/>
                <w:color w:val="000000" w:themeColor="text1"/>
              </w:rPr>
              <w:t>2021 Modified Dashboard</w:t>
            </w:r>
            <w:r w:rsidR="00150E61" w:rsidRPr="00940517">
              <w:rPr>
                <w:rFonts w:eastAsia="Arial" w:cs="Arial"/>
                <w:color w:val="000000" w:themeColor="text1"/>
              </w:rPr>
              <w:t>:</w:t>
            </w:r>
          </w:p>
          <w:p w14:paraId="606D422E" w14:textId="77777777" w:rsidR="00E77D94" w:rsidRPr="00940517" w:rsidRDefault="00E77D94" w:rsidP="00F13890">
            <w:pPr>
              <w:pStyle w:val="ListParagraph"/>
              <w:numPr>
                <w:ilvl w:val="0"/>
                <w:numId w:val="2"/>
              </w:numPr>
              <w:rPr>
                <w:rFonts w:eastAsia="Arial" w:cs="Arial"/>
                <w:color w:val="000000" w:themeColor="text1"/>
              </w:rPr>
            </w:pPr>
            <w:r w:rsidRPr="00940517">
              <w:rPr>
                <w:rFonts w:eastAsia="Arial" w:cs="Arial"/>
                <w:color w:val="000000" w:themeColor="text1"/>
              </w:rPr>
              <w:t>Overview of Data that Will Be Released</w:t>
            </w:r>
          </w:p>
          <w:p w14:paraId="5A90BFBE" w14:textId="77777777" w:rsidR="00E77D94" w:rsidRPr="00940517" w:rsidRDefault="00E77D94" w:rsidP="00F13890">
            <w:pPr>
              <w:pStyle w:val="ListParagraph"/>
              <w:numPr>
                <w:ilvl w:val="0"/>
                <w:numId w:val="2"/>
              </w:numPr>
              <w:rPr>
                <w:rFonts w:eastAsia="Arial" w:cs="Arial"/>
                <w:color w:val="000000" w:themeColor="text1"/>
              </w:rPr>
            </w:pPr>
            <w:r w:rsidRPr="00940517">
              <w:rPr>
                <w:rFonts w:eastAsia="Arial" w:cs="Arial"/>
                <w:color w:val="000000" w:themeColor="text1"/>
              </w:rPr>
              <w:t>State and Local Indicators</w:t>
            </w:r>
          </w:p>
          <w:p w14:paraId="0F9FEED6" w14:textId="595FFECB" w:rsidR="00150E61" w:rsidRPr="00940517" w:rsidRDefault="00E77D94" w:rsidP="00150E61">
            <w:pPr>
              <w:rPr>
                <w:rFonts w:eastAsia="Arial" w:cs="Arial"/>
                <w:color w:val="000000" w:themeColor="text1"/>
              </w:rPr>
            </w:pPr>
            <w:r w:rsidRPr="00940517">
              <w:rPr>
                <w:rFonts w:eastAsia="Arial" w:cs="Arial"/>
                <w:color w:val="000000" w:themeColor="text1"/>
              </w:rPr>
              <w:t xml:space="preserve">Teacher Assignment Monitoring Data </w:t>
            </w:r>
          </w:p>
        </w:tc>
      </w:tr>
      <w:tr w:rsidR="00E8468A" w:rsidRPr="00940517" w14:paraId="57DF6914"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50B9570A" w14:textId="7B0B1BD4" w:rsidR="00E8468A" w:rsidRPr="00940517" w:rsidRDefault="007426B7" w:rsidP="75A52BF3">
            <w:pPr>
              <w:jc w:val="center"/>
              <w:rPr>
                <w:rFonts w:cs="Arial"/>
              </w:rPr>
            </w:pPr>
            <w:r w:rsidRPr="00940517">
              <w:rPr>
                <w:rFonts w:cs="Arial"/>
              </w:rPr>
              <w:t>May 21, 2021</w:t>
            </w:r>
          </w:p>
        </w:tc>
        <w:tc>
          <w:tcPr>
            <w:tcW w:w="3145" w:type="dxa"/>
            <w:tcBorders>
              <w:top w:val="single" w:sz="4" w:space="0" w:color="auto"/>
              <w:left w:val="single" w:sz="4" w:space="0" w:color="auto"/>
              <w:bottom w:val="single" w:sz="4" w:space="0" w:color="auto"/>
              <w:right w:val="single" w:sz="4" w:space="0" w:color="auto"/>
            </w:tcBorders>
            <w:vAlign w:val="center"/>
          </w:tcPr>
          <w:p w14:paraId="714D05ED" w14:textId="2043F192" w:rsidR="00E8468A" w:rsidRPr="00940517" w:rsidRDefault="004439FA" w:rsidP="75A52BF3">
            <w:pPr>
              <w:jc w:val="center"/>
              <w:rPr>
                <w:rFonts w:cs="Arial"/>
              </w:rPr>
            </w:pPr>
            <w:r w:rsidRPr="00940517">
              <w:rPr>
                <w:rFonts w:cs="Arial"/>
              </w:rPr>
              <w:t>SFSD Meeting</w:t>
            </w:r>
          </w:p>
        </w:tc>
        <w:tc>
          <w:tcPr>
            <w:tcW w:w="1980" w:type="dxa"/>
            <w:tcBorders>
              <w:top w:val="single" w:sz="4" w:space="0" w:color="auto"/>
              <w:left w:val="single" w:sz="4" w:space="0" w:color="auto"/>
              <w:bottom w:val="single" w:sz="4" w:space="0" w:color="auto"/>
              <w:right w:val="single" w:sz="4" w:space="0" w:color="auto"/>
            </w:tcBorders>
            <w:vAlign w:val="center"/>
          </w:tcPr>
          <w:p w14:paraId="32E9597F" w14:textId="2024F3E4" w:rsidR="00E8468A" w:rsidRPr="00940517" w:rsidRDefault="007426B7" w:rsidP="75A52BF3">
            <w:pPr>
              <w:jc w:val="center"/>
              <w:rPr>
                <w:rFonts w:cs="Arial"/>
              </w:rPr>
            </w:pPr>
            <w:r w:rsidRPr="00940517">
              <w:rPr>
                <w:rFonts w:cs="Arial"/>
              </w:rPr>
              <w:t>356</w:t>
            </w:r>
          </w:p>
        </w:tc>
        <w:tc>
          <w:tcPr>
            <w:tcW w:w="5850" w:type="dxa"/>
            <w:tcBorders>
              <w:top w:val="single" w:sz="4" w:space="0" w:color="auto"/>
              <w:left w:val="single" w:sz="4" w:space="0" w:color="auto"/>
              <w:bottom w:val="single" w:sz="4" w:space="0" w:color="auto"/>
              <w:right w:val="single" w:sz="4" w:space="0" w:color="auto"/>
            </w:tcBorders>
            <w:vAlign w:val="center"/>
          </w:tcPr>
          <w:p w14:paraId="6BDBF99D" w14:textId="77777777" w:rsidR="00C65164" w:rsidRPr="00940517" w:rsidRDefault="008974BE" w:rsidP="00F13890">
            <w:pPr>
              <w:pStyle w:val="ListParagraph"/>
              <w:numPr>
                <w:ilvl w:val="0"/>
                <w:numId w:val="2"/>
              </w:numPr>
              <w:rPr>
                <w:rFonts w:eastAsia="Arial" w:cs="Arial"/>
                <w:color w:val="000000" w:themeColor="text1"/>
              </w:rPr>
            </w:pPr>
            <w:r w:rsidRPr="00940517">
              <w:rPr>
                <w:rFonts w:eastAsia="Arial" w:cs="Arial"/>
                <w:color w:val="000000" w:themeColor="text1"/>
              </w:rPr>
              <w:t xml:space="preserve">Growth Model: </w:t>
            </w:r>
          </w:p>
          <w:p w14:paraId="7103E6F5" w14:textId="53642448" w:rsidR="00C65164" w:rsidRPr="00940517" w:rsidRDefault="008974BE" w:rsidP="00F13890">
            <w:pPr>
              <w:pStyle w:val="ListParagraph"/>
              <w:numPr>
                <w:ilvl w:val="0"/>
                <w:numId w:val="2"/>
              </w:numPr>
              <w:rPr>
                <w:rFonts w:eastAsia="Arial" w:cs="Arial"/>
                <w:color w:val="000000" w:themeColor="text1"/>
              </w:rPr>
            </w:pPr>
            <w:r w:rsidRPr="00940517">
              <w:rPr>
                <w:rFonts w:eastAsia="Arial" w:cs="Arial"/>
                <w:color w:val="000000" w:themeColor="text1"/>
              </w:rPr>
              <w:t xml:space="preserve">May 2021 SBE </w:t>
            </w:r>
          </w:p>
          <w:p w14:paraId="3DC026A3" w14:textId="77777777" w:rsidR="00C65164" w:rsidRPr="00940517" w:rsidRDefault="008974BE" w:rsidP="00F13890">
            <w:pPr>
              <w:pStyle w:val="ListParagraph"/>
              <w:numPr>
                <w:ilvl w:val="0"/>
                <w:numId w:val="2"/>
              </w:numPr>
              <w:rPr>
                <w:rFonts w:eastAsia="Arial" w:cs="Arial"/>
                <w:color w:val="000000" w:themeColor="text1"/>
              </w:rPr>
            </w:pPr>
            <w:r w:rsidRPr="00940517">
              <w:rPr>
                <w:rFonts w:eastAsia="Arial" w:cs="Arial"/>
                <w:color w:val="000000" w:themeColor="text1"/>
              </w:rPr>
              <w:t>Release of Data Files and Webinar</w:t>
            </w:r>
          </w:p>
          <w:p w14:paraId="0F9708C5" w14:textId="77777777" w:rsidR="00C65164" w:rsidRPr="00940517" w:rsidRDefault="008974BE" w:rsidP="00F13890">
            <w:pPr>
              <w:pStyle w:val="ListParagraph"/>
              <w:numPr>
                <w:ilvl w:val="0"/>
                <w:numId w:val="2"/>
              </w:numPr>
              <w:rPr>
                <w:rFonts w:eastAsia="Arial" w:cs="Arial"/>
                <w:color w:val="000000" w:themeColor="text1"/>
              </w:rPr>
            </w:pPr>
            <w:r w:rsidRPr="00940517">
              <w:rPr>
                <w:rFonts w:eastAsia="Arial" w:cs="Arial"/>
                <w:color w:val="000000" w:themeColor="text1"/>
              </w:rPr>
              <w:t xml:space="preserve">May Revise </w:t>
            </w:r>
          </w:p>
          <w:p w14:paraId="3D1B357A" w14:textId="01752901" w:rsidR="00E8468A" w:rsidRPr="00940517" w:rsidRDefault="008974BE" w:rsidP="00F13890">
            <w:pPr>
              <w:pStyle w:val="ListParagraph"/>
              <w:numPr>
                <w:ilvl w:val="0"/>
                <w:numId w:val="2"/>
              </w:numPr>
              <w:rPr>
                <w:rFonts w:eastAsia="Arial" w:cs="Arial"/>
                <w:color w:val="000000" w:themeColor="text1"/>
              </w:rPr>
            </w:pPr>
            <w:r w:rsidRPr="00940517">
              <w:rPr>
                <w:rFonts w:eastAsia="Arial" w:cs="Arial"/>
                <w:color w:val="000000" w:themeColor="text1"/>
              </w:rPr>
              <w:t xml:space="preserve">Teacher Assignment Monitoring Data </w:t>
            </w:r>
          </w:p>
        </w:tc>
      </w:tr>
      <w:tr w:rsidR="3E2A1F52" w:rsidRPr="00940517" w14:paraId="64968A2F"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78371069" w14:textId="0A551655" w:rsidR="3E2A1F52" w:rsidRPr="00940517" w:rsidRDefault="3E2A1F52" w:rsidP="3E2A1F52">
            <w:pPr>
              <w:jc w:val="center"/>
              <w:rPr>
                <w:rFonts w:eastAsiaTheme="minorEastAsia" w:cs="Arial"/>
              </w:rPr>
            </w:pPr>
            <w:r w:rsidRPr="00940517">
              <w:rPr>
                <w:rFonts w:eastAsiaTheme="minorEastAsia" w:cs="Arial"/>
              </w:rPr>
              <w:lastRenderedPageBreak/>
              <w:t>August 26, 2021</w:t>
            </w:r>
          </w:p>
        </w:tc>
        <w:tc>
          <w:tcPr>
            <w:tcW w:w="3145" w:type="dxa"/>
            <w:tcBorders>
              <w:top w:val="single" w:sz="4" w:space="0" w:color="auto"/>
              <w:left w:val="single" w:sz="4" w:space="0" w:color="auto"/>
              <w:bottom w:val="single" w:sz="4" w:space="0" w:color="auto"/>
              <w:right w:val="single" w:sz="4" w:space="0" w:color="auto"/>
            </w:tcBorders>
            <w:vAlign w:val="center"/>
          </w:tcPr>
          <w:p w14:paraId="6A76BF17" w14:textId="3FEFEF72" w:rsidR="3E2A1F52" w:rsidRPr="00940517" w:rsidRDefault="3E2A1F52" w:rsidP="3E2A1F52">
            <w:pPr>
              <w:jc w:val="center"/>
            </w:pPr>
            <w:r w:rsidRPr="00940517">
              <w:rPr>
                <w:rFonts w:cs="Arial"/>
              </w:rPr>
              <w:t>BCN Meeting</w:t>
            </w:r>
          </w:p>
        </w:tc>
        <w:tc>
          <w:tcPr>
            <w:tcW w:w="1980" w:type="dxa"/>
            <w:tcBorders>
              <w:top w:val="single" w:sz="4" w:space="0" w:color="auto"/>
              <w:left w:val="single" w:sz="4" w:space="0" w:color="auto"/>
              <w:bottom w:val="single" w:sz="4" w:space="0" w:color="auto"/>
              <w:right w:val="single" w:sz="4" w:space="0" w:color="auto"/>
            </w:tcBorders>
            <w:vAlign w:val="center"/>
          </w:tcPr>
          <w:p w14:paraId="151AE9FD" w14:textId="3D9D84B8" w:rsidR="3E2A1F52" w:rsidRPr="00940517" w:rsidRDefault="4E0C6EE0" w:rsidP="4ADA05AE">
            <w:pPr>
              <w:jc w:val="center"/>
              <w:rPr>
                <w:rFonts w:eastAsiaTheme="minorEastAsia" w:cs="Arial"/>
              </w:rPr>
            </w:pPr>
            <w:r w:rsidRPr="00940517">
              <w:rPr>
                <w:rFonts w:eastAsiaTheme="minorEastAsia" w:cs="Arial"/>
              </w:rPr>
              <w:t>122</w:t>
            </w:r>
          </w:p>
        </w:tc>
        <w:tc>
          <w:tcPr>
            <w:tcW w:w="5850" w:type="dxa"/>
            <w:tcBorders>
              <w:top w:val="single" w:sz="4" w:space="0" w:color="auto"/>
              <w:left w:val="single" w:sz="4" w:space="0" w:color="auto"/>
              <w:bottom w:val="single" w:sz="4" w:space="0" w:color="auto"/>
              <w:right w:val="single" w:sz="4" w:space="0" w:color="auto"/>
            </w:tcBorders>
            <w:vAlign w:val="center"/>
          </w:tcPr>
          <w:p w14:paraId="4FB576E2" w14:textId="164187DF" w:rsidR="3E2A1F52" w:rsidRPr="00940517" w:rsidRDefault="3E2A1F52" w:rsidP="00F13890">
            <w:pPr>
              <w:pStyle w:val="ListParagraph"/>
              <w:numPr>
                <w:ilvl w:val="0"/>
                <w:numId w:val="2"/>
              </w:numPr>
              <w:rPr>
                <w:rFonts w:cs="Arial"/>
                <w:color w:val="000000" w:themeColor="text1"/>
              </w:rPr>
            </w:pPr>
            <w:r w:rsidRPr="00940517">
              <w:rPr>
                <w:rFonts w:eastAsia="Arial" w:cs="Arial"/>
                <w:color w:val="000000" w:themeColor="text1"/>
              </w:rPr>
              <w:t>Accountability Update</w:t>
            </w:r>
          </w:p>
          <w:p w14:paraId="5B19EB4D" w14:textId="67A422B3" w:rsidR="3E2A1F52" w:rsidRPr="00940517" w:rsidRDefault="3E2A1F52" w:rsidP="00F13890">
            <w:pPr>
              <w:pStyle w:val="ListParagraph"/>
              <w:numPr>
                <w:ilvl w:val="0"/>
                <w:numId w:val="2"/>
              </w:numPr>
              <w:spacing w:line="216" w:lineRule="auto"/>
              <w:rPr>
                <w:rFonts w:asciiTheme="minorHAnsi" w:eastAsiaTheme="minorEastAsia" w:hAnsiTheme="minorHAnsi" w:cstheme="minorBidi"/>
                <w:color w:val="000000" w:themeColor="text1"/>
              </w:rPr>
            </w:pPr>
            <w:r w:rsidRPr="00940517">
              <w:rPr>
                <w:rFonts w:eastAsia="Arial" w:cs="Arial"/>
                <w:color w:val="000000" w:themeColor="text1"/>
              </w:rPr>
              <w:t>2020–21 EL reports on DataQuest</w:t>
            </w:r>
          </w:p>
          <w:p w14:paraId="4AD82F9A" w14:textId="4F562322" w:rsidR="3E2A1F52" w:rsidRPr="00940517" w:rsidRDefault="3E2A1F52" w:rsidP="00F13890">
            <w:pPr>
              <w:pStyle w:val="ListParagraph"/>
              <w:numPr>
                <w:ilvl w:val="0"/>
                <w:numId w:val="2"/>
              </w:numPr>
              <w:spacing w:line="216" w:lineRule="auto"/>
              <w:rPr>
                <w:rFonts w:asciiTheme="minorHAnsi" w:eastAsiaTheme="minorEastAsia" w:hAnsiTheme="minorHAnsi" w:cstheme="minorBidi"/>
                <w:color w:val="000000" w:themeColor="text1"/>
              </w:rPr>
            </w:pPr>
            <w:r w:rsidRPr="00940517">
              <w:rPr>
                <w:rFonts w:eastAsia="Arial" w:cs="Arial"/>
                <w:color w:val="000000" w:themeColor="text1"/>
              </w:rPr>
              <w:t>2020–21 Long-Term English Learner (LTEL) and At Risk of Long-Term English Learner (AR-LTEL) Reports</w:t>
            </w:r>
          </w:p>
          <w:p w14:paraId="1D822A2E" w14:textId="0B2CB637" w:rsidR="3E2A1F52" w:rsidRPr="00940517" w:rsidRDefault="3E2A1F52" w:rsidP="00F13890">
            <w:pPr>
              <w:pStyle w:val="ListParagraph"/>
              <w:numPr>
                <w:ilvl w:val="0"/>
                <w:numId w:val="2"/>
              </w:numPr>
              <w:spacing w:line="216" w:lineRule="auto"/>
              <w:rPr>
                <w:rFonts w:asciiTheme="minorHAnsi" w:eastAsiaTheme="minorEastAsia" w:hAnsiTheme="minorHAnsi" w:cstheme="minorBidi"/>
                <w:color w:val="000000" w:themeColor="text1"/>
              </w:rPr>
            </w:pPr>
            <w:r w:rsidRPr="00940517">
              <w:rPr>
                <w:rFonts w:eastAsia="Arial" w:cs="Arial"/>
                <w:color w:val="000000" w:themeColor="text1"/>
              </w:rPr>
              <w:t>ELPI</w:t>
            </w:r>
            <w:r w:rsidR="7F8FD967" w:rsidRPr="00940517">
              <w:rPr>
                <w:rFonts w:eastAsia="Arial" w:cs="Arial"/>
                <w:color w:val="000000" w:themeColor="text1"/>
              </w:rPr>
              <w:t xml:space="preserve"> Workgroup</w:t>
            </w:r>
            <w:r w:rsidRPr="00940517">
              <w:rPr>
                <w:rFonts w:eastAsia="Arial" w:cs="Arial"/>
                <w:color w:val="000000" w:themeColor="text1"/>
              </w:rPr>
              <w:t xml:space="preserve"> June 2021 Meeting</w:t>
            </w:r>
          </w:p>
        </w:tc>
      </w:tr>
      <w:tr w:rsidR="007F08BA" w:rsidRPr="00940517" w14:paraId="1EE9AC0E"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041832DF" w14:textId="19BC371D" w:rsidR="007F08BA" w:rsidRPr="00940517" w:rsidRDefault="007F08BA" w:rsidP="007F08BA">
            <w:pPr>
              <w:jc w:val="center"/>
              <w:rPr>
                <w:rFonts w:cs="Arial"/>
              </w:rPr>
            </w:pPr>
            <w:r w:rsidRPr="00940517">
              <w:rPr>
                <w:rFonts w:cs="Arial"/>
              </w:rPr>
              <w:t>September 23-24, 2021</w:t>
            </w:r>
          </w:p>
        </w:tc>
        <w:tc>
          <w:tcPr>
            <w:tcW w:w="3145" w:type="dxa"/>
            <w:tcBorders>
              <w:top w:val="single" w:sz="4" w:space="0" w:color="auto"/>
              <w:left w:val="single" w:sz="4" w:space="0" w:color="auto"/>
              <w:bottom w:val="single" w:sz="4" w:space="0" w:color="auto"/>
              <w:right w:val="single" w:sz="4" w:space="0" w:color="auto"/>
            </w:tcBorders>
            <w:vAlign w:val="center"/>
          </w:tcPr>
          <w:p w14:paraId="2F645394" w14:textId="5424A549" w:rsidR="007F08BA" w:rsidRPr="00940517" w:rsidRDefault="005E4C20" w:rsidP="007F08BA">
            <w:pPr>
              <w:jc w:val="center"/>
              <w:rPr>
                <w:rFonts w:cs="Arial"/>
              </w:rPr>
            </w:pPr>
            <w:r w:rsidRPr="00940517">
              <w:rPr>
                <w:rFonts w:cs="Arial"/>
              </w:rPr>
              <w:t xml:space="preserve">California Coalition of Early </w:t>
            </w:r>
            <w:r w:rsidR="007E216F" w:rsidRPr="00940517">
              <w:rPr>
                <w:rFonts w:cs="Arial"/>
              </w:rPr>
              <w:t>and</w:t>
            </w:r>
            <w:r w:rsidRPr="00940517">
              <w:rPr>
                <w:rFonts w:cs="Arial"/>
              </w:rPr>
              <w:t xml:space="preserve"> Middle Colleges (CCEMC) </w:t>
            </w:r>
            <w:r w:rsidR="00921C68" w:rsidRPr="00940517">
              <w:rPr>
                <w:rFonts w:cs="Arial"/>
              </w:rPr>
              <w:t>Dual Enrollment Summit</w:t>
            </w:r>
          </w:p>
        </w:tc>
        <w:tc>
          <w:tcPr>
            <w:tcW w:w="1980" w:type="dxa"/>
            <w:tcBorders>
              <w:top w:val="single" w:sz="4" w:space="0" w:color="auto"/>
              <w:left w:val="single" w:sz="4" w:space="0" w:color="auto"/>
              <w:bottom w:val="single" w:sz="4" w:space="0" w:color="auto"/>
              <w:right w:val="single" w:sz="4" w:space="0" w:color="auto"/>
            </w:tcBorders>
            <w:vAlign w:val="center"/>
          </w:tcPr>
          <w:p w14:paraId="36E721F1" w14:textId="44B3A33C" w:rsidR="007F08BA" w:rsidRPr="00940517" w:rsidRDefault="00921C68" w:rsidP="5754D285">
            <w:pPr>
              <w:jc w:val="center"/>
              <w:rPr>
                <w:rFonts w:cs="Arial"/>
              </w:rPr>
            </w:pPr>
            <w:r w:rsidRPr="00940517">
              <w:rPr>
                <w:rFonts w:cs="Arial"/>
              </w:rPr>
              <w:t>88</w:t>
            </w:r>
          </w:p>
        </w:tc>
        <w:tc>
          <w:tcPr>
            <w:tcW w:w="5850" w:type="dxa"/>
            <w:tcBorders>
              <w:top w:val="single" w:sz="4" w:space="0" w:color="auto"/>
              <w:left w:val="single" w:sz="4" w:space="0" w:color="auto"/>
              <w:bottom w:val="single" w:sz="4" w:space="0" w:color="auto"/>
              <w:right w:val="single" w:sz="4" w:space="0" w:color="auto"/>
            </w:tcBorders>
            <w:vAlign w:val="center"/>
          </w:tcPr>
          <w:p w14:paraId="12FA6F7A" w14:textId="51384D2F" w:rsidR="008355C3" w:rsidRPr="00940517" w:rsidRDefault="0058681D" w:rsidP="00F13890">
            <w:pPr>
              <w:pStyle w:val="ListParagraph"/>
              <w:numPr>
                <w:ilvl w:val="0"/>
                <w:numId w:val="2"/>
              </w:numPr>
              <w:rPr>
                <w:rFonts w:eastAsia="Arial" w:cs="Arial"/>
                <w:color w:val="000000" w:themeColor="text1"/>
              </w:rPr>
            </w:pPr>
            <w:r w:rsidRPr="00940517">
              <w:rPr>
                <w:rFonts w:eastAsia="Arial" w:cs="Arial"/>
                <w:color w:val="000000" w:themeColor="text1"/>
              </w:rPr>
              <w:t>CALPADS Data Now</w:t>
            </w:r>
            <w:r w:rsidR="00D33E1D" w:rsidRPr="00940517">
              <w:rPr>
                <w:rFonts w:eastAsia="Arial" w:cs="Arial"/>
                <w:color w:val="000000" w:themeColor="text1"/>
              </w:rPr>
              <w:t xml:space="preserve"> and in the </w:t>
            </w:r>
            <w:r w:rsidRPr="00940517">
              <w:rPr>
                <w:rFonts w:eastAsia="Arial" w:cs="Arial"/>
                <w:color w:val="000000" w:themeColor="text1"/>
              </w:rPr>
              <w:t>Future</w:t>
            </w:r>
          </w:p>
          <w:p w14:paraId="2C935C0F" w14:textId="2BE4ED4C" w:rsidR="008355C3" w:rsidRPr="00940517" w:rsidRDefault="00D33E1D" w:rsidP="00F13890">
            <w:pPr>
              <w:pStyle w:val="ListParagraph"/>
              <w:numPr>
                <w:ilvl w:val="0"/>
                <w:numId w:val="2"/>
              </w:numPr>
              <w:rPr>
                <w:rFonts w:eastAsia="Arial" w:cs="Arial"/>
                <w:color w:val="000000" w:themeColor="text1"/>
              </w:rPr>
            </w:pPr>
            <w:r w:rsidRPr="00940517">
              <w:rPr>
                <w:rFonts w:eastAsia="Arial" w:cs="Arial"/>
                <w:color w:val="000000" w:themeColor="text1"/>
              </w:rPr>
              <w:t>Information on the CCI</w:t>
            </w:r>
          </w:p>
          <w:p w14:paraId="5C0DF7D6" w14:textId="168FB743" w:rsidR="007F08BA" w:rsidRPr="00940517" w:rsidRDefault="0058681D" w:rsidP="00F13890">
            <w:pPr>
              <w:pStyle w:val="ListParagraph"/>
              <w:numPr>
                <w:ilvl w:val="0"/>
                <w:numId w:val="2"/>
              </w:numPr>
              <w:rPr>
                <w:rFonts w:eastAsia="Arial" w:cs="Arial"/>
                <w:color w:val="000000" w:themeColor="text1"/>
              </w:rPr>
            </w:pPr>
            <w:r w:rsidRPr="00940517">
              <w:rPr>
                <w:rFonts w:eastAsia="Arial" w:cs="Arial"/>
                <w:color w:val="000000" w:themeColor="text1"/>
              </w:rPr>
              <w:t>District Approaches</w:t>
            </w:r>
          </w:p>
        </w:tc>
      </w:tr>
      <w:tr w:rsidR="5754D285" w:rsidRPr="00940517" w14:paraId="1947EAB9"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22C410D2" w14:textId="4F8D667D" w:rsidR="52906799" w:rsidRPr="00940517" w:rsidRDefault="52906799" w:rsidP="5754D285">
            <w:pPr>
              <w:jc w:val="center"/>
              <w:rPr>
                <w:rFonts w:cs="Arial"/>
              </w:rPr>
            </w:pPr>
            <w:r w:rsidRPr="00940517">
              <w:rPr>
                <w:rFonts w:cs="Arial"/>
              </w:rPr>
              <w:t>November 18, 2021</w:t>
            </w:r>
          </w:p>
        </w:tc>
        <w:tc>
          <w:tcPr>
            <w:tcW w:w="3145" w:type="dxa"/>
            <w:tcBorders>
              <w:top w:val="single" w:sz="4" w:space="0" w:color="auto"/>
              <w:left w:val="single" w:sz="4" w:space="0" w:color="auto"/>
              <w:bottom w:val="single" w:sz="4" w:space="0" w:color="auto"/>
              <w:right w:val="single" w:sz="4" w:space="0" w:color="auto"/>
            </w:tcBorders>
            <w:vAlign w:val="center"/>
          </w:tcPr>
          <w:p w14:paraId="210DB587" w14:textId="3455BD29" w:rsidR="52906799" w:rsidRPr="00940517" w:rsidRDefault="52906799" w:rsidP="5754D285">
            <w:pPr>
              <w:jc w:val="center"/>
              <w:rPr>
                <w:rFonts w:cs="Arial"/>
              </w:rPr>
            </w:pPr>
            <w:r w:rsidRPr="00940517">
              <w:rPr>
                <w:rFonts w:cs="Arial"/>
              </w:rPr>
              <w:t>BCN Meeting</w:t>
            </w:r>
          </w:p>
        </w:tc>
        <w:tc>
          <w:tcPr>
            <w:tcW w:w="1980" w:type="dxa"/>
            <w:tcBorders>
              <w:top w:val="single" w:sz="4" w:space="0" w:color="auto"/>
              <w:left w:val="single" w:sz="4" w:space="0" w:color="auto"/>
              <w:bottom w:val="single" w:sz="4" w:space="0" w:color="auto"/>
              <w:right w:val="single" w:sz="4" w:space="0" w:color="auto"/>
            </w:tcBorders>
            <w:vAlign w:val="center"/>
          </w:tcPr>
          <w:p w14:paraId="1BCB9AA0" w14:textId="1642E861" w:rsidR="5754D285" w:rsidRPr="00940517" w:rsidRDefault="6A4DC299" w:rsidP="5754D285">
            <w:pPr>
              <w:jc w:val="center"/>
              <w:rPr>
                <w:rFonts w:cs="Arial"/>
              </w:rPr>
            </w:pPr>
            <w:r w:rsidRPr="00940517">
              <w:rPr>
                <w:rFonts w:cs="Arial"/>
              </w:rPr>
              <w:t>127</w:t>
            </w:r>
          </w:p>
        </w:tc>
        <w:tc>
          <w:tcPr>
            <w:tcW w:w="5850" w:type="dxa"/>
            <w:tcBorders>
              <w:top w:val="single" w:sz="4" w:space="0" w:color="auto"/>
              <w:left w:val="single" w:sz="4" w:space="0" w:color="auto"/>
              <w:bottom w:val="single" w:sz="4" w:space="0" w:color="auto"/>
              <w:right w:val="single" w:sz="4" w:space="0" w:color="auto"/>
            </w:tcBorders>
            <w:vAlign w:val="center"/>
          </w:tcPr>
          <w:p w14:paraId="7DDDDC9C" w14:textId="6D42E593" w:rsidR="52906799" w:rsidRPr="00940517" w:rsidRDefault="52906799" w:rsidP="00F13890">
            <w:pPr>
              <w:pStyle w:val="ListParagraph"/>
              <w:numPr>
                <w:ilvl w:val="0"/>
                <w:numId w:val="2"/>
              </w:numPr>
              <w:rPr>
                <w:rFonts w:asciiTheme="minorHAnsi" w:eastAsiaTheme="minorEastAsia" w:hAnsiTheme="minorHAnsi" w:cstheme="minorBidi"/>
                <w:color w:val="000000" w:themeColor="text1"/>
              </w:rPr>
            </w:pPr>
            <w:r w:rsidRPr="00940517">
              <w:rPr>
                <w:rFonts w:eastAsia="Arial" w:cs="Arial"/>
                <w:color w:val="000000" w:themeColor="text1"/>
              </w:rPr>
              <w:t>2021 State and Federal Accountability Updates</w:t>
            </w:r>
          </w:p>
          <w:p w14:paraId="4320625C" w14:textId="349ACC53" w:rsidR="52906799" w:rsidRPr="00940517" w:rsidRDefault="52906799" w:rsidP="00F13890">
            <w:pPr>
              <w:pStyle w:val="ListParagraph"/>
              <w:numPr>
                <w:ilvl w:val="0"/>
                <w:numId w:val="2"/>
              </w:numPr>
              <w:spacing w:line="216" w:lineRule="auto"/>
              <w:rPr>
                <w:rFonts w:asciiTheme="minorHAnsi" w:eastAsiaTheme="minorEastAsia" w:hAnsiTheme="minorHAnsi" w:cstheme="minorBidi"/>
                <w:color w:val="000000" w:themeColor="text1"/>
              </w:rPr>
            </w:pPr>
            <w:r w:rsidRPr="00940517">
              <w:rPr>
                <w:rFonts w:eastAsia="Arial" w:cs="Arial"/>
                <w:color w:val="000000" w:themeColor="text1"/>
              </w:rPr>
              <w:t>C</w:t>
            </w:r>
            <w:r w:rsidR="69433808" w:rsidRPr="00940517">
              <w:rPr>
                <w:rFonts w:eastAsia="Arial" w:cs="Arial"/>
                <w:color w:val="000000" w:themeColor="text1"/>
              </w:rPr>
              <w:t>SI</w:t>
            </w:r>
            <w:r w:rsidRPr="00940517">
              <w:rPr>
                <w:rFonts w:eastAsia="Arial" w:cs="Arial"/>
                <w:color w:val="000000" w:themeColor="text1"/>
              </w:rPr>
              <w:t xml:space="preserve"> and ATSI Updates</w:t>
            </w:r>
          </w:p>
          <w:p w14:paraId="5A773F34" w14:textId="1D9F7119" w:rsidR="52906799" w:rsidRPr="00940517" w:rsidRDefault="52906799" w:rsidP="00F13890">
            <w:pPr>
              <w:pStyle w:val="ListParagraph"/>
              <w:numPr>
                <w:ilvl w:val="0"/>
                <w:numId w:val="2"/>
              </w:numPr>
              <w:spacing w:line="216" w:lineRule="auto"/>
              <w:rPr>
                <w:rFonts w:asciiTheme="minorHAnsi" w:eastAsiaTheme="minorEastAsia" w:hAnsiTheme="minorHAnsi" w:cstheme="minorBidi"/>
                <w:color w:val="000000" w:themeColor="text1"/>
              </w:rPr>
            </w:pPr>
            <w:r w:rsidRPr="00940517">
              <w:rPr>
                <w:rFonts w:eastAsia="Arial" w:cs="Arial"/>
                <w:color w:val="000000" w:themeColor="text1"/>
              </w:rPr>
              <w:t>2020–21 LTEL and AR-LTEL</w:t>
            </w:r>
            <w:r w:rsidR="00150E61" w:rsidRPr="00940517">
              <w:rPr>
                <w:rFonts w:eastAsia="Arial" w:cs="Arial"/>
                <w:color w:val="000000" w:themeColor="text1"/>
              </w:rPr>
              <w:t xml:space="preserve"> </w:t>
            </w:r>
            <w:r w:rsidRPr="00940517">
              <w:rPr>
                <w:rFonts w:eastAsia="Arial" w:cs="Arial"/>
                <w:color w:val="000000" w:themeColor="text1"/>
              </w:rPr>
              <w:t>DataQuest Reports</w:t>
            </w:r>
          </w:p>
          <w:p w14:paraId="1170F572" w14:textId="1FDA7DAB" w:rsidR="52906799" w:rsidRPr="00940517" w:rsidRDefault="52906799" w:rsidP="00F13890">
            <w:pPr>
              <w:pStyle w:val="ListParagraph"/>
              <w:numPr>
                <w:ilvl w:val="0"/>
                <w:numId w:val="2"/>
              </w:numPr>
              <w:spacing w:line="216" w:lineRule="auto"/>
              <w:rPr>
                <w:rFonts w:asciiTheme="minorHAnsi" w:eastAsiaTheme="minorEastAsia" w:hAnsiTheme="minorHAnsi" w:cstheme="minorBidi"/>
                <w:color w:val="000000" w:themeColor="text1"/>
              </w:rPr>
            </w:pPr>
            <w:r w:rsidRPr="00940517">
              <w:rPr>
                <w:rFonts w:eastAsia="Arial" w:cs="Arial"/>
                <w:color w:val="000000" w:themeColor="text1"/>
              </w:rPr>
              <w:t>Update on the EL Students in California Schools Webpage</w:t>
            </w:r>
          </w:p>
        </w:tc>
      </w:tr>
      <w:tr w:rsidR="006F6D12" w:rsidRPr="00940517" w14:paraId="7857CC86" w14:textId="77777777" w:rsidTr="0E36A200">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5EC483B8" w14:textId="40F6F035" w:rsidR="006F6D12" w:rsidRPr="00940517" w:rsidRDefault="00142223" w:rsidP="00006EC2">
            <w:pPr>
              <w:jc w:val="center"/>
              <w:rPr>
                <w:rFonts w:eastAsiaTheme="minorHAnsi" w:cs="Arial"/>
              </w:rPr>
            </w:pPr>
            <w:r w:rsidRPr="00940517">
              <w:rPr>
                <w:rFonts w:eastAsiaTheme="minorHAnsi" w:cs="Arial"/>
              </w:rPr>
              <w:t>September 2, 2021</w:t>
            </w:r>
          </w:p>
        </w:tc>
        <w:tc>
          <w:tcPr>
            <w:tcW w:w="3145" w:type="dxa"/>
            <w:tcBorders>
              <w:top w:val="single" w:sz="4" w:space="0" w:color="auto"/>
              <w:left w:val="single" w:sz="4" w:space="0" w:color="auto"/>
              <w:bottom w:val="single" w:sz="4" w:space="0" w:color="auto"/>
              <w:right w:val="single" w:sz="4" w:space="0" w:color="auto"/>
            </w:tcBorders>
            <w:vAlign w:val="center"/>
          </w:tcPr>
          <w:p w14:paraId="33FE0C00" w14:textId="460809E1" w:rsidR="006F6D12" w:rsidRPr="00940517" w:rsidRDefault="00142223" w:rsidP="00CD3BCC">
            <w:pPr>
              <w:jc w:val="center"/>
              <w:rPr>
                <w:rFonts w:cs="Arial"/>
              </w:rPr>
            </w:pPr>
            <w:r w:rsidRPr="00940517">
              <w:rPr>
                <w:rFonts w:cs="Arial"/>
              </w:rPr>
              <w:t>2021 Assessment and Accountability Meeting: Accountability and Data Reporting</w:t>
            </w:r>
          </w:p>
        </w:tc>
        <w:tc>
          <w:tcPr>
            <w:tcW w:w="1980" w:type="dxa"/>
            <w:tcBorders>
              <w:top w:val="single" w:sz="4" w:space="0" w:color="auto"/>
              <w:left w:val="single" w:sz="4" w:space="0" w:color="auto"/>
              <w:bottom w:val="single" w:sz="4" w:space="0" w:color="auto"/>
              <w:right w:val="single" w:sz="4" w:space="0" w:color="auto"/>
            </w:tcBorders>
            <w:vAlign w:val="center"/>
          </w:tcPr>
          <w:p w14:paraId="341F33E4" w14:textId="005D67A6" w:rsidR="006F6D12" w:rsidRPr="00940517" w:rsidRDefault="00B44791" w:rsidP="00006EC2">
            <w:pPr>
              <w:jc w:val="center"/>
              <w:rPr>
                <w:rFonts w:eastAsiaTheme="minorEastAsia" w:cs="Arial"/>
              </w:rPr>
            </w:pPr>
            <w:r w:rsidRPr="00940517">
              <w:rPr>
                <w:rFonts w:eastAsiaTheme="minorEastAsia" w:cs="Arial"/>
              </w:rPr>
              <w:t>588</w:t>
            </w:r>
          </w:p>
        </w:tc>
        <w:tc>
          <w:tcPr>
            <w:tcW w:w="5850" w:type="dxa"/>
            <w:tcBorders>
              <w:top w:val="single" w:sz="4" w:space="0" w:color="auto"/>
              <w:left w:val="single" w:sz="4" w:space="0" w:color="auto"/>
              <w:bottom w:val="single" w:sz="4" w:space="0" w:color="auto"/>
              <w:right w:val="single" w:sz="4" w:space="0" w:color="auto"/>
            </w:tcBorders>
            <w:vAlign w:val="center"/>
          </w:tcPr>
          <w:p w14:paraId="7B0B9D0B" w14:textId="77777777" w:rsidR="00142223" w:rsidRPr="00940517" w:rsidRDefault="00142223" w:rsidP="00F13890">
            <w:pPr>
              <w:pStyle w:val="ListParagraph"/>
              <w:numPr>
                <w:ilvl w:val="0"/>
                <w:numId w:val="2"/>
              </w:numPr>
              <w:rPr>
                <w:rFonts w:cs="Arial"/>
                <w:color w:val="000000"/>
              </w:rPr>
            </w:pPr>
            <w:r w:rsidRPr="00940517">
              <w:rPr>
                <w:rFonts w:cs="Arial"/>
                <w:color w:val="000000"/>
              </w:rPr>
              <w:t xml:space="preserve">2021 Accountability and Data Reporting </w:t>
            </w:r>
          </w:p>
          <w:p w14:paraId="0794B499" w14:textId="77777777" w:rsidR="00142223" w:rsidRPr="00940517" w:rsidRDefault="00142223" w:rsidP="00F13890">
            <w:pPr>
              <w:pStyle w:val="ListParagraph"/>
              <w:numPr>
                <w:ilvl w:val="0"/>
                <w:numId w:val="2"/>
              </w:numPr>
              <w:rPr>
                <w:rFonts w:cs="Arial"/>
                <w:color w:val="000000"/>
              </w:rPr>
            </w:pPr>
            <w:r w:rsidRPr="00940517">
              <w:rPr>
                <w:rFonts w:cs="Arial"/>
                <w:color w:val="000000"/>
              </w:rPr>
              <w:t xml:space="preserve">2022 and 2023 Accountability </w:t>
            </w:r>
          </w:p>
          <w:p w14:paraId="6EE0FFF6" w14:textId="77777777" w:rsidR="00142223" w:rsidRPr="00940517" w:rsidRDefault="00142223" w:rsidP="00F13890">
            <w:pPr>
              <w:pStyle w:val="ListParagraph"/>
              <w:numPr>
                <w:ilvl w:val="0"/>
                <w:numId w:val="2"/>
              </w:numPr>
              <w:rPr>
                <w:rFonts w:cs="Arial"/>
                <w:color w:val="000000"/>
              </w:rPr>
            </w:pPr>
            <w:r w:rsidRPr="00940517">
              <w:rPr>
                <w:rFonts w:cs="Arial"/>
                <w:color w:val="000000"/>
              </w:rPr>
              <w:t>New Reports in Development</w:t>
            </w:r>
          </w:p>
          <w:p w14:paraId="2C168E24" w14:textId="701E4FD2" w:rsidR="006F6D12" w:rsidRPr="00940517" w:rsidRDefault="00142223" w:rsidP="00F13890">
            <w:pPr>
              <w:pStyle w:val="ListParagraph"/>
              <w:numPr>
                <w:ilvl w:val="0"/>
                <w:numId w:val="2"/>
              </w:numPr>
              <w:rPr>
                <w:rFonts w:cs="Arial"/>
                <w:color w:val="000000"/>
              </w:rPr>
            </w:pPr>
            <w:r w:rsidRPr="00940517">
              <w:rPr>
                <w:rFonts w:cs="Arial"/>
                <w:color w:val="000000"/>
              </w:rPr>
              <w:t>Resources</w:t>
            </w:r>
          </w:p>
        </w:tc>
      </w:tr>
      <w:tr w:rsidR="00313E68" w:rsidRPr="00940517" w14:paraId="6C609A87" w14:textId="77777777" w:rsidTr="00CE15DC">
        <w:trPr>
          <w:cantSplit/>
        </w:trPr>
        <w:tc>
          <w:tcPr>
            <w:tcW w:w="2250" w:type="dxa"/>
            <w:vAlign w:val="center"/>
          </w:tcPr>
          <w:p w14:paraId="4535F9A5" w14:textId="53E0159A" w:rsidR="00313E68" w:rsidRPr="00940517" w:rsidRDefault="00313E68" w:rsidP="00CE15DC">
            <w:pPr>
              <w:jc w:val="center"/>
              <w:rPr>
                <w:rFonts w:eastAsiaTheme="minorHAnsi" w:cs="Arial"/>
              </w:rPr>
            </w:pPr>
            <w:r w:rsidRPr="00940517">
              <w:rPr>
                <w:rFonts w:eastAsiaTheme="minorHAnsi" w:cs="Arial"/>
              </w:rPr>
              <w:t>September 14, 2021</w:t>
            </w:r>
          </w:p>
        </w:tc>
        <w:tc>
          <w:tcPr>
            <w:tcW w:w="3145" w:type="dxa"/>
            <w:vAlign w:val="center"/>
          </w:tcPr>
          <w:p w14:paraId="42B703FC" w14:textId="352C5D52" w:rsidR="00313E68" w:rsidRPr="00940517" w:rsidRDefault="00313E68" w:rsidP="00CE15DC">
            <w:pPr>
              <w:jc w:val="center"/>
              <w:rPr>
                <w:rFonts w:cs="Arial"/>
              </w:rPr>
            </w:pPr>
            <w:r w:rsidRPr="00940517">
              <w:rPr>
                <w:rFonts w:cs="Arial"/>
              </w:rPr>
              <w:t>Tuesday @ 2</w:t>
            </w:r>
            <w:r w:rsidR="00DD4887" w:rsidRPr="00940517">
              <w:rPr>
                <w:rFonts w:cs="Arial"/>
              </w:rPr>
              <w:t>: 2021</w:t>
            </w:r>
            <w:r w:rsidR="008974BE" w:rsidRPr="00940517">
              <w:rPr>
                <w:rFonts w:cs="Arial"/>
              </w:rPr>
              <w:t>–</w:t>
            </w:r>
            <w:r w:rsidR="00DD4887" w:rsidRPr="00940517">
              <w:rPr>
                <w:rFonts w:cs="Arial"/>
              </w:rPr>
              <w:t>22 Differentiated Assistance Requirements</w:t>
            </w:r>
          </w:p>
        </w:tc>
        <w:tc>
          <w:tcPr>
            <w:tcW w:w="1980" w:type="dxa"/>
            <w:vAlign w:val="center"/>
          </w:tcPr>
          <w:p w14:paraId="0220BA9C" w14:textId="19E32EB7" w:rsidR="00313E68" w:rsidRPr="00940517" w:rsidRDefault="0023157F" w:rsidP="00CE15DC">
            <w:pPr>
              <w:jc w:val="center"/>
              <w:rPr>
                <w:rFonts w:eastAsiaTheme="minorHAnsi" w:cs="Arial"/>
              </w:rPr>
            </w:pPr>
            <w:r w:rsidRPr="00940517">
              <w:rPr>
                <w:rFonts w:eastAsiaTheme="minorHAnsi" w:cs="Arial"/>
              </w:rPr>
              <w:t>432</w:t>
            </w:r>
          </w:p>
        </w:tc>
        <w:tc>
          <w:tcPr>
            <w:tcW w:w="5850" w:type="dxa"/>
          </w:tcPr>
          <w:p w14:paraId="3CA3A0E7" w14:textId="27FB3BC5" w:rsidR="00313E68" w:rsidRPr="00940517" w:rsidRDefault="00DD4887" w:rsidP="00F13890">
            <w:pPr>
              <w:pStyle w:val="ListParagraph"/>
              <w:numPr>
                <w:ilvl w:val="0"/>
                <w:numId w:val="2"/>
              </w:numPr>
              <w:rPr>
                <w:rFonts w:eastAsiaTheme="minorHAnsi" w:cs="Arial"/>
              </w:rPr>
            </w:pPr>
            <w:r w:rsidRPr="00940517">
              <w:rPr>
                <w:rFonts w:ascii="Helvetica" w:hAnsi="Helvetica" w:cs="Helvetica"/>
                <w:color w:val="000000"/>
                <w:shd w:val="clear" w:color="auto" w:fill="FFFFFF"/>
              </w:rPr>
              <w:t>Overview of the new requirements for 2021–22 Differentiated Assistance as part of Section 122 of Assembly Bill 130</w:t>
            </w:r>
          </w:p>
        </w:tc>
      </w:tr>
      <w:tr w:rsidR="00802EEA" w:rsidRPr="00940517" w14:paraId="6FC76100" w14:textId="77777777" w:rsidTr="00CE15DC">
        <w:trPr>
          <w:cantSplit/>
        </w:trPr>
        <w:tc>
          <w:tcPr>
            <w:tcW w:w="2250" w:type="dxa"/>
            <w:vAlign w:val="center"/>
          </w:tcPr>
          <w:p w14:paraId="3DCE6DF5" w14:textId="330B2E5F" w:rsidR="00802EEA" w:rsidRPr="00940517" w:rsidRDefault="00802EEA" w:rsidP="00CE15DC">
            <w:pPr>
              <w:jc w:val="center"/>
              <w:rPr>
                <w:rFonts w:eastAsiaTheme="minorHAnsi" w:cs="Arial"/>
              </w:rPr>
            </w:pPr>
            <w:r w:rsidRPr="00940517">
              <w:rPr>
                <w:rFonts w:eastAsiaTheme="minorHAnsi" w:cs="Arial"/>
              </w:rPr>
              <w:t>September 15, 2021</w:t>
            </w:r>
          </w:p>
        </w:tc>
        <w:tc>
          <w:tcPr>
            <w:tcW w:w="3145" w:type="dxa"/>
            <w:vAlign w:val="center"/>
          </w:tcPr>
          <w:p w14:paraId="335D13BD" w14:textId="4C685E6D" w:rsidR="00802EEA" w:rsidRPr="00940517" w:rsidRDefault="00802EEA" w:rsidP="00CE15DC">
            <w:pPr>
              <w:jc w:val="center"/>
              <w:rPr>
                <w:rFonts w:cs="Arial"/>
              </w:rPr>
            </w:pPr>
            <w:r w:rsidRPr="00940517">
              <w:rPr>
                <w:rFonts w:cs="Arial"/>
              </w:rPr>
              <w:t>Regional Assessment Network</w:t>
            </w:r>
            <w:r w:rsidR="004439FA" w:rsidRPr="00940517">
              <w:rPr>
                <w:rFonts w:cs="Arial"/>
              </w:rPr>
              <w:t xml:space="preserve"> (RAN)</w:t>
            </w:r>
            <w:r w:rsidRPr="00940517">
              <w:rPr>
                <w:rFonts w:cs="Arial"/>
              </w:rPr>
              <w:t xml:space="preserve"> Meeting</w:t>
            </w:r>
          </w:p>
        </w:tc>
        <w:tc>
          <w:tcPr>
            <w:tcW w:w="1980" w:type="dxa"/>
            <w:vAlign w:val="center"/>
          </w:tcPr>
          <w:p w14:paraId="14CB1B4B" w14:textId="628A9315" w:rsidR="00802EEA" w:rsidRPr="00940517" w:rsidRDefault="00802EEA" w:rsidP="00CE15DC">
            <w:pPr>
              <w:jc w:val="center"/>
              <w:rPr>
                <w:rFonts w:eastAsiaTheme="minorHAnsi" w:cs="Arial"/>
              </w:rPr>
            </w:pPr>
            <w:r w:rsidRPr="00940517">
              <w:rPr>
                <w:rFonts w:eastAsiaTheme="minorHAnsi" w:cs="Arial"/>
              </w:rPr>
              <w:t>30</w:t>
            </w:r>
          </w:p>
        </w:tc>
        <w:tc>
          <w:tcPr>
            <w:tcW w:w="5850" w:type="dxa"/>
          </w:tcPr>
          <w:p w14:paraId="4EE2D9B9" w14:textId="1ACBBA4E" w:rsidR="00802EEA" w:rsidRPr="00940517" w:rsidRDefault="00E31A83" w:rsidP="00F13890">
            <w:pPr>
              <w:pStyle w:val="ListParagraph"/>
              <w:numPr>
                <w:ilvl w:val="0"/>
                <w:numId w:val="2"/>
              </w:numPr>
              <w:rPr>
                <w:rFonts w:eastAsiaTheme="minorHAnsi" w:cs="Arial"/>
              </w:rPr>
            </w:pPr>
            <w:r w:rsidRPr="00940517">
              <w:rPr>
                <w:rFonts w:eastAsiaTheme="minorHAnsi" w:cs="Arial"/>
              </w:rPr>
              <w:t>Overview of data process for the 2020–21 School Year</w:t>
            </w:r>
          </w:p>
        </w:tc>
      </w:tr>
      <w:tr w:rsidR="00313E68" w:rsidRPr="00940517" w14:paraId="4D04F56A" w14:textId="77777777" w:rsidTr="00CE15DC">
        <w:trPr>
          <w:cantSplit/>
        </w:trPr>
        <w:tc>
          <w:tcPr>
            <w:tcW w:w="2250" w:type="dxa"/>
            <w:vAlign w:val="center"/>
          </w:tcPr>
          <w:p w14:paraId="59FA48E8" w14:textId="6CFB5211" w:rsidR="00313E68" w:rsidRPr="00940517" w:rsidRDefault="00313E68" w:rsidP="00CE15DC">
            <w:pPr>
              <w:jc w:val="center"/>
              <w:rPr>
                <w:rFonts w:eastAsiaTheme="minorHAnsi" w:cs="Arial"/>
              </w:rPr>
            </w:pPr>
            <w:r w:rsidRPr="00940517">
              <w:rPr>
                <w:rFonts w:eastAsiaTheme="minorHAnsi" w:cs="Arial"/>
              </w:rPr>
              <w:t>September 16, 2021</w:t>
            </w:r>
          </w:p>
        </w:tc>
        <w:tc>
          <w:tcPr>
            <w:tcW w:w="3145" w:type="dxa"/>
            <w:vAlign w:val="center"/>
          </w:tcPr>
          <w:p w14:paraId="71CBE4EA" w14:textId="28ADA9E0" w:rsidR="00313E68" w:rsidRPr="00940517" w:rsidRDefault="00313E68" w:rsidP="00CE15DC">
            <w:pPr>
              <w:jc w:val="center"/>
              <w:rPr>
                <w:rFonts w:cs="Arial"/>
              </w:rPr>
            </w:pPr>
            <w:r w:rsidRPr="00940517">
              <w:rPr>
                <w:rFonts w:cs="Arial"/>
              </w:rPr>
              <w:t>American Indian Education Oversight Committee Meeting</w:t>
            </w:r>
          </w:p>
        </w:tc>
        <w:tc>
          <w:tcPr>
            <w:tcW w:w="1980" w:type="dxa"/>
            <w:vAlign w:val="center"/>
          </w:tcPr>
          <w:p w14:paraId="3619CFC8" w14:textId="2700A49F" w:rsidR="00313E68" w:rsidRPr="00940517" w:rsidRDefault="00DD4887" w:rsidP="00CE15DC">
            <w:pPr>
              <w:jc w:val="center"/>
              <w:rPr>
                <w:rFonts w:eastAsiaTheme="minorHAnsi" w:cs="Arial"/>
              </w:rPr>
            </w:pPr>
            <w:r w:rsidRPr="00940517">
              <w:rPr>
                <w:rFonts w:eastAsiaTheme="minorHAnsi" w:cs="Arial"/>
              </w:rPr>
              <w:t>25</w:t>
            </w:r>
          </w:p>
        </w:tc>
        <w:tc>
          <w:tcPr>
            <w:tcW w:w="5850" w:type="dxa"/>
          </w:tcPr>
          <w:p w14:paraId="1744FF5B" w14:textId="45BA4CFB" w:rsidR="00313E68" w:rsidRPr="00940517" w:rsidRDefault="00313E68" w:rsidP="00F13890">
            <w:pPr>
              <w:pStyle w:val="ListParagraph"/>
              <w:numPr>
                <w:ilvl w:val="0"/>
                <w:numId w:val="2"/>
              </w:numPr>
              <w:rPr>
                <w:rFonts w:eastAsiaTheme="minorHAnsi" w:cs="Arial"/>
              </w:rPr>
            </w:pPr>
            <w:r w:rsidRPr="00940517">
              <w:rPr>
                <w:rFonts w:eastAsiaTheme="minorHAnsi" w:cs="Arial"/>
              </w:rPr>
              <w:t>Overview of data collections and reporting of student group information on the Dashboard and DataQuest</w:t>
            </w:r>
          </w:p>
        </w:tc>
      </w:tr>
      <w:tr w:rsidR="00313E68" w:rsidRPr="00940517" w14:paraId="5D77388C" w14:textId="77777777" w:rsidTr="00CE15DC">
        <w:trPr>
          <w:cantSplit/>
        </w:trPr>
        <w:tc>
          <w:tcPr>
            <w:tcW w:w="2250" w:type="dxa"/>
            <w:vAlign w:val="center"/>
          </w:tcPr>
          <w:p w14:paraId="2D3381E3" w14:textId="0B4ABF44" w:rsidR="00313E68" w:rsidRPr="00940517" w:rsidRDefault="00313E68" w:rsidP="00CE15DC">
            <w:pPr>
              <w:jc w:val="center"/>
              <w:rPr>
                <w:rFonts w:eastAsiaTheme="minorHAnsi" w:cs="Arial"/>
              </w:rPr>
            </w:pPr>
            <w:r w:rsidRPr="00940517">
              <w:rPr>
                <w:rFonts w:eastAsiaTheme="minorHAnsi" w:cs="Arial"/>
              </w:rPr>
              <w:t>September 17, 2021</w:t>
            </w:r>
          </w:p>
        </w:tc>
        <w:tc>
          <w:tcPr>
            <w:tcW w:w="3145" w:type="dxa"/>
            <w:vAlign w:val="center"/>
          </w:tcPr>
          <w:p w14:paraId="2C0AB11D" w14:textId="01D53ED7" w:rsidR="00313E68" w:rsidRPr="00940517" w:rsidRDefault="004439FA" w:rsidP="00CE15DC">
            <w:pPr>
              <w:jc w:val="center"/>
              <w:rPr>
                <w:rFonts w:cs="Arial"/>
              </w:rPr>
            </w:pPr>
            <w:r w:rsidRPr="00940517">
              <w:rPr>
                <w:rFonts w:cs="Arial"/>
              </w:rPr>
              <w:t xml:space="preserve">SFSD </w:t>
            </w:r>
            <w:r w:rsidR="00313E68" w:rsidRPr="00940517">
              <w:rPr>
                <w:rFonts w:cs="Arial"/>
              </w:rPr>
              <w:t>Meeting</w:t>
            </w:r>
          </w:p>
        </w:tc>
        <w:tc>
          <w:tcPr>
            <w:tcW w:w="1980" w:type="dxa"/>
            <w:vAlign w:val="center"/>
          </w:tcPr>
          <w:p w14:paraId="31398299" w14:textId="065C12B9" w:rsidR="00313E68" w:rsidRPr="00940517" w:rsidRDefault="00BE0947" w:rsidP="00CE15DC">
            <w:pPr>
              <w:jc w:val="center"/>
              <w:rPr>
                <w:rFonts w:eastAsiaTheme="minorHAnsi" w:cs="Arial"/>
              </w:rPr>
            </w:pPr>
            <w:r w:rsidRPr="00940517">
              <w:rPr>
                <w:rFonts w:eastAsiaTheme="minorHAnsi" w:cs="Arial"/>
              </w:rPr>
              <w:t>393</w:t>
            </w:r>
          </w:p>
        </w:tc>
        <w:tc>
          <w:tcPr>
            <w:tcW w:w="5850" w:type="dxa"/>
          </w:tcPr>
          <w:p w14:paraId="0653F1FD" w14:textId="1AD5EE9E" w:rsidR="00313E68" w:rsidRPr="00940517" w:rsidRDefault="00C625C7" w:rsidP="00F13890">
            <w:pPr>
              <w:pStyle w:val="ListParagraph"/>
              <w:numPr>
                <w:ilvl w:val="0"/>
                <w:numId w:val="2"/>
              </w:numPr>
              <w:rPr>
                <w:rFonts w:eastAsiaTheme="minorHAnsi" w:cs="Arial"/>
              </w:rPr>
            </w:pPr>
            <w:r w:rsidRPr="00940517">
              <w:rPr>
                <w:rFonts w:eastAsiaTheme="minorHAnsi" w:cs="Arial"/>
              </w:rPr>
              <w:t xml:space="preserve">2021 </w:t>
            </w:r>
            <w:r w:rsidR="00313E68" w:rsidRPr="00940517">
              <w:rPr>
                <w:rFonts w:eastAsiaTheme="minorHAnsi" w:cs="Arial"/>
              </w:rPr>
              <w:t>Accountability Update</w:t>
            </w:r>
          </w:p>
        </w:tc>
      </w:tr>
      <w:tr w:rsidR="00802EEA" w:rsidRPr="00940517" w14:paraId="0502A510" w14:textId="77777777" w:rsidTr="00CE15DC">
        <w:trPr>
          <w:cantSplit/>
        </w:trPr>
        <w:tc>
          <w:tcPr>
            <w:tcW w:w="2250" w:type="dxa"/>
            <w:vAlign w:val="center"/>
          </w:tcPr>
          <w:p w14:paraId="2919B6EF" w14:textId="7EF14CBB" w:rsidR="00802EEA" w:rsidRPr="00940517" w:rsidRDefault="00802EEA" w:rsidP="00CE15DC">
            <w:pPr>
              <w:jc w:val="center"/>
              <w:rPr>
                <w:rFonts w:eastAsiaTheme="minorHAnsi" w:cs="Arial"/>
              </w:rPr>
            </w:pPr>
            <w:r w:rsidRPr="00940517">
              <w:rPr>
                <w:rFonts w:eastAsiaTheme="minorHAnsi" w:cs="Arial"/>
              </w:rPr>
              <w:lastRenderedPageBreak/>
              <w:t>November 9, 2021</w:t>
            </w:r>
          </w:p>
        </w:tc>
        <w:tc>
          <w:tcPr>
            <w:tcW w:w="3145" w:type="dxa"/>
            <w:vAlign w:val="center"/>
          </w:tcPr>
          <w:p w14:paraId="5A8BBC26" w14:textId="1BA9403C" w:rsidR="00802EEA" w:rsidRPr="00940517" w:rsidRDefault="00802EEA" w:rsidP="00CE15DC">
            <w:pPr>
              <w:jc w:val="center"/>
              <w:rPr>
                <w:rFonts w:cs="Arial"/>
              </w:rPr>
            </w:pPr>
            <w:r w:rsidRPr="00940517">
              <w:rPr>
                <w:rFonts w:cs="Arial"/>
              </w:rPr>
              <w:t>The One-Year Graduation Rate for Continuation and Community Day Schools webinar</w:t>
            </w:r>
          </w:p>
        </w:tc>
        <w:tc>
          <w:tcPr>
            <w:tcW w:w="1980" w:type="dxa"/>
            <w:vAlign w:val="center"/>
          </w:tcPr>
          <w:p w14:paraId="3DBDE907" w14:textId="74322EF7" w:rsidR="00802EEA" w:rsidRPr="00940517" w:rsidRDefault="00802EEA" w:rsidP="00CE15DC">
            <w:pPr>
              <w:jc w:val="center"/>
              <w:rPr>
                <w:rFonts w:eastAsiaTheme="minorHAnsi" w:cs="Arial"/>
              </w:rPr>
            </w:pPr>
            <w:r w:rsidRPr="00940517">
              <w:rPr>
                <w:rFonts w:eastAsiaTheme="minorHAnsi" w:cs="Arial"/>
              </w:rPr>
              <w:t>100</w:t>
            </w:r>
          </w:p>
        </w:tc>
        <w:tc>
          <w:tcPr>
            <w:tcW w:w="5850" w:type="dxa"/>
          </w:tcPr>
          <w:p w14:paraId="14A2BE07" w14:textId="77777777" w:rsidR="00C34061" w:rsidRPr="00940517" w:rsidRDefault="00C34061" w:rsidP="00F13890">
            <w:pPr>
              <w:pStyle w:val="ListParagraph"/>
              <w:numPr>
                <w:ilvl w:val="0"/>
                <w:numId w:val="2"/>
              </w:numPr>
              <w:rPr>
                <w:rFonts w:eastAsiaTheme="minorHAnsi" w:cs="Arial"/>
              </w:rPr>
            </w:pPr>
            <w:r w:rsidRPr="00940517">
              <w:rPr>
                <w:rFonts w:eastAsiaTheme="minorHAnsi" w:cs="Arial"/>
              </w:rPr>
              <w:t>Overview of the DASS Graduation Rate</w:t>
            </w:r>
          </w:p>
          <w:p w14:paraId="4260D29B" w14:textId="77777777" w:rsidR="00C34061" w:rsidRPr="00940517" w:rsidRDefault="00C34061" w:rsidP="00F13890">
            <w:pPr>
              <w:pStyle w:val="ListParagraph"/>
              <w:numPr>
                <w:ilvl w:val="0"/>
                <w:numId w:val="2"/>
              </w:numPr>
              <w:rPr>
                <w:rFonts w:eastAsiaTheme="minorHAnsi" w:cs="Arial"/>
              </w:rPr>
            </w:pPr>
            <w:r w:rsidRPr="00940517">
              <w:rPr>
                <w:rFonts w:eastAsiaTheme="minorHAnsi" w:cs="Arial"/>
              </w:rPr>
              <w:t>Covering the Business Rules</w:t>
            </w:r>
          </w:p>
          <w:p w14:paraId="177C69C4" w14:textId="77777777" w:rsidR="00C34061" w:rsidRPr="00940517" w:rsidRDefault="00C34061" w:rsidP="00F13890">
            <w:pPr>
              <w:pStyle w:val="ListParagraph"/>
              <w:numPr>
                <w:ilvl w:val="0"/>
                <w:numId w:val="2"/>
              </w:numPr>
              <w:rPr>
                <w:rFonts w:eastAsiaTheme="minorHAnsi" w:cs="Arial"/>
              </w:rPr>
            </w:pPr>
            <w:r w:rsidRPr="00940517">
              <w:rPr>
                <w:rFonts w:eastAsiaTheme="minorHAnsi" w:cs="Arial"/>
              </w:rPr>
              <w:t>Reviewing Commonly Asked Questions</w:t>
            </w:r>
          </w:p>
          <w:p w14:paraId="1AF2356F" w14:textId="77777777" w:rsidR="00C34061" w:rsidRPr="00940517" w:rsidRDefault="00C34061" w:rsidP="00F13890">
            <w:pPr>
              <w:pStyle w:val="ListParagraph"/>
              <w:numPr>
                <w:ilvl w:val="0"/>
                <w:numId w:val="2"/>
              </w:numPr>
              <w:rPr>
                <w:rFonts w:eastAsiaTheme="minorHAnsi" w:cs="Arial"/>
              </w:rPr>
            </w:pPr>
            <w:r w:rsidRPr="00940517">
              <w:rPr>
                <w:rFonts w:eastAsiaTheme="minorHAnsi" w:cs="Arial"/>
              </w:rPr>
              <w:t>Connection to CALPADS</w:t>
            </w:r>
          </w:p>
          <w:p w14:paraId="39A1889C" w14:textId="412696E7" w:rsidR="00802EEA" w:rsidRPr="00940517" w:rsidRDefault="00C34061" w:rsidP="00F13890">
            <w:pPr>
              <w:pStyle w:val="ListParagraph"/>
              <w:numPr>
                <w:ilvl w:val="0"/>
                <w:numId w:val="2"/>
              </w:numPr>
              <w:rPr>
                <w:rFonts w:eastAsiaTheme="minorHAnsi" w:cs="Arial"/>
              </w:rPr>
            </w:pPr>
            <w:r w:rsidRPr="00940517">
              <w:rPr>
                <w:rFonts w:eastAsiaTheme="minorHAnsi" w:cs="Arial"/>
              </w:rPr>
              <w:t xml:space="preserve">2021 Data Reporting </w:t>
            </w:r>
          </w:p>
        </w:tc>
      </w:tr>
      <w:tr w:rsidR="00CD3BCC" w:rsidRPr="00940517" w14:paraId="4821900E" w14:textId="77777777" w:rsidTr="00CE15DC">
        <w:trPr>
          <w:cantSplit/>
        </w:trPr>
        <w:tc>
          <w:tcPr>
            <w:tcW w:w="2250" w:type="dxa"/>
            <w:tcBorders>
              <w:bottom w:val="single" w:sz="4" w:space="0" w:color="auto"/>
            </w:tcBorders>
            <w:vAlign w:val="center"/>
          </w:tcPr>
          <w:p w14:paraId="3F66A588" w14:textId="251490E8" w:rsidR="00CD3BCC" w:rsidRPr="00940517" w:rsidRDefault="00802EEA" w:rsidP="00CE15DC">
            <w:pPr>
              <w:jc w:val="center"/>
              <w:rPr>
                <w:rFonts w:eastAsiaTheme="minorHAnsi" w:cs="Arial"/>
              </w:rPr>
            </w:pPr>
            <w:r w:rsidRPr="00940517">
              <w:rPr>
                <w:rFonts w:eastAsiaTheme="minorHAnsi" w:cs="Arial"/>
              </w:rPr>
              <w:t>December 8, 2021</w:t>
            </w:r>
          </w:p>
        </w:tc>
        <w:tc>
          <w:tcPr>
            <w:tcW w:w="3145" w:type="dxa"/>
            <w:vAlign w:val="center"/>
          </w:tcPr>
          <w:p w14:paraId="5FE937C8" w14:textId="28792B73" w:rsidR="00CD3BCC" w:rsidRPr="00940517" w:rsidRDefault="00802EEA" w:rsidP="00CE15DC">
            <w:pPr>
              <w:jc w:val="center"/>
              <w:rPr>
                <w:rFonts w:cs="Arial"/>
              </w:rPr>
            </w:pPr>
            <w:r w:rsidRPr="00940517">
              <w:rPr>
                <w:rFonts w:cs="Arial"/>
              </w:rPr>
              <w:t>R</w:t>
            </w:r>
            <w:r w:rsidR="004439FA" w:rsidRPr="00940517">
              <w:rPr>
                <w:rFonts w:cs="Arial"/>
              </w:rPr>
              <w:t>AN</w:t>
            </w:r>
            <w:r w:rsidRPr="00940517">
              <w:rPr>
                <w:rFonts w:cs="Arial"/>
              </w:rPr>
              <w:t xml:space="preserve"> Meeting</w:t>
            </w:r>
          </w:p>
        </w:tc>
        <w:tc>
          <w:tcPr>
            <w:tcW w:w="1980" w:type="dxa"/>
            <w:vAlign w:val="center"/>
          </w:tcPr>
          <w:p w14:paraId="110DEAA5" w14:textId="157F82AB" w:rsidR="00CD3BCC" w:rsidRPr="00940517" w:rsidRDefault="00802EEA" w:rsidP="00CE15DC">
            <w:pPr>
              <w:jc w:val="center"/>
              <w:rPr>
                <w:rFonts w:eastAsiaTheme="minorHAnsi" w:cs="Arial"/>
              </w:rPr>
            </w:pPr>
            <w:r w:rsidRPr="00940517">
              <w:rPr>
                <w:rFonts w:eastAsiaTheme="minorHAnsi" w:cs="Arial"/>
              </w:rPr>
              <w:t>30</w:t>
            </w:r>
          </w:p>
        </w:tc>
        <w:tc>
          <w:tcPr>
            <w:tcW w:w="5850" w:type="dxa"/>
          </w:tcPr>
          <w:p w14:paraId="5AA65D33" w14:textId="4562AD54" w:rsidR="00802EEA" w:rsidRPr="00940517" w:rsidRDefault="00802EEA" w:rsidP="00F13890">
            <w:pPr>
              <w:pStyle w:val="ListParagraph"/>
              <w:numPr>
                <w:ilvl w:val="0"/>
                <w:numId w:val="2"/>
              </w:numPr>
              <w:rPr>
                <w:rFonts w:eastAsiaTheme="minorHAnsi" w:cs="Arial"/>
              </w:rPr>
            </w:pPr>
            <w:r w:rsidRPr="00940517">
              <w:rPr>
                <w:rFonts w:eastAsiaTheme="minorHAnsi" w:cs="Arial"/>
              </w:rPr>
              <w:t>Accountability and Data Reporting for the 202</w:t>
            </w:r>
            <w:r w:rsidR="00E31A83" w:rsidRPr="00940517">
              <w:rPr>
                <w:rFonts w:eastAsiaTheme="minorHAnsi" w:cs="Arial"/>
              </w:rPr>
              <w:t>0</w:t>
            </w:r>
            <w:r w:rsidRPr="00940517">
              <w:rPr>
                <w:rFonts w:eastAsiaTheme="minorHAnsi" w:cs="Arial"/>
              </w:rPr>
              <w:t>–21 School Year</w:t>
            </w:r>
          </w:p>
          <w:p w14:paraId="5DEF8080" w14:textId="3B525FB8" w:rsidR="00CD3BCC" w:rsidRPr="00940517" w:rsidRDefault="00802EEA" w:rsidP="00F13890">
            <w:pPr>
              <w:pStyle w:val="ListParagraph"/>
              <w:numPr>
                <w:ilvl w:val="0"/>
                <w:numId w:val="2"/>
              </w:numPr>
              <w:rPr>
                <w:rFonts w:eastAsiaTheme="minorHAnsi" w:cs="Arial"/>
              </w:rPr>
            </w:pPr>
            <w:r w:rsidRPr="00940517">
              <w:rPr>
                <w:rFonts w:eastAsiaTheme="minorHAnsi" w:cs="Arial"/>
              </w:rPr>
              <w:t>Seeing into the Future: 2022 and beyond</w:t>
            </w:r>
          </w:p>
        </w:tc>
      </w:tr>
      <w:tr w:rsidR="00CD3BCC" w:rsidRPr="00940517" w14:paraId="38DDD446" w14:textId="77777777" w:rsidTr="00CE15DC">
        <w:trPr>
          <w:cantSplit/>
        </w:trPr>
        <w:tc>
          <w:tcPr>
            <w:tcW w:w="2250" w:type="dxa"/>
            <w:shd w:val="clear" w:color="auto" w:fill="auto"/>
            <w:vAlign w:val="center"/>
          </w:tcPr>
          <w:p w14:paraId="27CDFCEA" w14:textId="603E487B" w:rsidR="00CD3BCC" w:rsidRPr="00940517" w:rsidRDefault="00CD3BCC" w:rsidP="00CE15DC">
            <w:pPr>
              <w:jc w:val="center"/>
              <w:rPr>
                <w:rFonts w:eastAsiaTheme="minorEastAsia" w:cs="Arial"/>
              </w:rPr>
            </w:pPr>
            <w:r w:rsidRPr="00940517">
              <w:rPr>
                <w:rFonts w:eastAsiaTheme="minorEastAsia" w:cs="Arial"/>
              </w:rPr>
              <w:t>December 10, 2021</w:t>
            </w:r>
          </w:p>
        </w:tc>
        <w:tc>
          <w:tcPr>
            <w:tcW w:w="3145" w:type="dxa"/>
            <w:vAlign w:val="center"/>
          </w:tcPr>
          <w:p w14:paraId="246C58A7" w14:textId="75311ACD" w:rsidR="00CD3BCC" w:rsidRPr="00940517" w:rsidRDefault="00CD3BCC" w:rsidP="00CE15DC">
            <w:pPr>
              <w:jc w:val="center"/>
              <w:rPr>
                <w:rFonts w:cs="Arial"/>
              </w:rPr>
            </w:pPr>
            <w:r w:rsidRPr="00940517">
              <w:rPr>
                <w:rFonts w:cs="Arial"/>
              </w:rPr>
              <w:t>California Collaborative on Education Excellence Advisory Council Meeting</w:t>
            </w:r>
          </w:p>
        </w:tc>
        <w:tc>
          <w:tcPr>
            <w:tcW w:w="1980" w:type="dxa"/>
            <w:vAlign w:val="center"/>
          </w:tcPr>
          <w:p w14:paraId="6B91C89F" w14:textId="203D8A6D" w:rsidR="00CD3BCC" w:rsidRPr="00940517" w:rsidRDefault="00CD3BCC" w:rsidP="00CE15DC">
            <w:pPr>
              <w:jc w:val="center"/>
              <w:rPr>
                <w:rFonts w:eastAsiaTheme="minorHAnsi" w:cs="Arial"/>
              </w:rPr>
            </w:pPr>
            <w:r w:rsidRPr="00940517">
              <w:rPr>
                <w:rFonts w:eastAsiaTheme="minorHAnsi" w:cs="Arial"/>
              </w:rPr>
              <w:t>25</w:t>
            </w:r>
          </w:p>
        </w:tc>
        <w:tc>
          <w:tcPr>
            <w:tcW w:w="5850" w:type="dxa"/>
          </w:tcPr>
          <w:p w14:paraId="11034586" w14:textId="77777777" w:rsidR="00CD3BCC" w:rsidRPr="00940517" w:rsidRDefault="00CD3BCC" w:rsidP="00F13890">
            <w:pPr>
              <w:pStyle w:val="ListParagraph"/>
              <w:numPr>
                <w:ilvl w:val="0"/>
                <w:numId w:val="2"/>
              </w:numPr>
              <w:rPr>
                <w:rFonts w:eastAsiaTheme="minorHAnsi" w:cs="Arial"/>
              </w:rPr>
            </w:pPr>
            <w:r w:rsidRPr="00940517">
              <w:rPr>
                <w:rFonts w:eastAsiaTheme="minorHAnsi" w:cs="Arial"/>
              </w:rPr>
              <w:t>California Cradle-to-Career Data System</w:t>
            </w:r>
          </w:p>
          <w:p w14:paraId="52CA6051" w14:textId="739E2E35" w:rsidR="00CD3BCC" w:rsidRPr="00940517" w:rsidRDefault="00CD3BCC" w:rsidP="00F13890">
            <w:pPr>
              <w:pStyle w:val="ListParagraph"/>
              <w:numPr>
                <w:ilvl w:val="0"/>
                <w:numId w:val="2"/>
              </w:numPr>
              <w:rPr>
                <w:rFonts w:eastAsiaTheme="minorHAnsi" w:cs="Arial"/>
              </w:rPr>
            </w:pPr>
            <w:r w:rsidRPr="00940517">
              <w:rPr>
                <w:rFonts w:eastAsiaTheme="minorHAnsi" w:cs="Arial"/>
              </w:rPr>
              <w:t xml:space="preserve">Stability Rate Reports </w:t>
            </w:r>
          </w:p>
        </w:tc>
      </w:tr>
      <w:tr w:rsidR="00C625C7" w:rsidRPr="00940517" w14:paraId="06177273" w14:textId="77777777" w:rsidTr="00CE15DC">
        <w:trPr>
          <w:cantSplit/>
        </w:trPr>
        <w:tc>
          <w:tcPr>
            <w:tcW w:w="2250" w:type="dxa"/>
            <w:shd w:val="clear" w:color="auto" w:fill="auto"/>
            <w:vAlign w:val="center"/>
          </w:tcPr>
          <w:p w14:paraId="2EABCD67" w14:textId="389A3EFF" w:rsidR="00C625C7" w:rsidRPr="00940517" w:rsidRDefault="00C625C7" w:rsidP="00CE15DC">
            <w:pPr>
              <w:jc w:val="center"/>
              <w:rPr>
                <w:rFonts w:eastAsiaTheme="minorEastAsia" w:cs="Arial"/>
              </w:rPr>
            </w:pPr>
            <w:r w:rsidRPr="00940517">
              <w:rPr>
                <w:rFonts w:eastAsiaTheme="minorEastAsia" w:cs="Arial"/>
              </w:rPr>
              <w:t>January 11, 2022</w:t>
            </w:r>
          </w:p>
        </w:tc>
        <w:tc>
          <w:tcPr>
            <w:tcW w:w="3145" w:type="dxa"/>
            <w:vAlign w:val="center"/>
          </w:tcPr>
          <w:p w14:paraId="0FF3C688" w14:textId="7DEC4F11" w:rsidR="00C625C7" w:rsidRPr="00940517" w:rsidRDefault="00C625C7" w:rsidP="00CE15DC">
            <w:pPr>
              <w:jc w:val="center"/>
              <w:rPr>
                <w:rFonts w:cs="Arial"/>
              </w:rPr>
            </w:pPr>
            <w:r w:rsidRPr="00940517">
              <w:rPr>
                <w:rFonts w:cs="Arial"/>
              </w:rPr>
              <w:t>Tuesday @ 2: Dashboard Local Indicators Process</w:t>
            </w:r>
          </w:p>
        </w:tc>
        <w:tc>
          <w:tcPr>
            <w:tcW w:w="1980" w:type="dxa"/>
            <w:vAlign w:val="center"/>
          </w:tcPr>
          <w:p w14:paraId="16140848" w14:textId="693E9772" w:rsidR="00C625C7" w:rsidRPr="00940517" w:rsidRDefault="00C625C7" w:rsidP="00CE15DC">
            <w:pPr>
              <w:jc w:val="center"/>
              <w:rPr>
                <w:rFonts w:eastAsiaTheme="minorHAnsi" w:cs="Arial"/>
              </w:rPr>
            </w:pPr>
            <w:r w:rsidRPr="00940517">
              <w:rPr>
                <w:rFonts w:eastAsiaTheme="minorHAnsi" w:cs="Arial"/>
              </w:rPr>
              <w:t>537</w:t>
            </w:r>
          </w:p>
        </w:tc>
        <w:tc>
          <w:tcPr>
            <w:tcW w:w="5850" w:type="dxa"/>
          </w:tcPr>
          <w:p w14:paraId="407A364D" w14:textId="77777777" w:rsidR="00C625C7" w:rsidRPr="00940517" w:rsidRDefault="00C625C7" w:rsidP="00F13890">
            <w:pPr>
              <w:pStyle w:val="ListParagraph"/>
              <w:numPr>
                <w:ilvl w:val="0"/>
                <w:numId w:val="2"/>
              </w:numPr>
              <w:rPr>
                <w:rFonts w:eastAsiaTheme="minorHAnsi" w:cs="Arial"/>
              </w:rPr>
            </w:pPr>
            <w:r w:rsidRPr="00940517">
              <w:rPr>
                <w:rFonts w:eastAsiaTheme="minorHAnsi" w:cs="Arial"/>
              </w:rPr>
              <w:t xml:space="preserve">Review of Data Reporting for the </w:t>
            </w:r>
            <w:r w:rsidRPr="00940517">
              <w:rPr>
                <w:rFonts w:eastAsiaTheme="minorEastAsia" w:cs="Arial"/>
              </w:rPr>
              <w:t>2020–21 School Year</w:t>
            </w:r>
          </w:p>
          <w:p w14:paraId="198E6077" w14:textId="526DD156" w:rsidR="00C625C7" w:rsidRPr="00940517" w:rsidRDefault="00C625C7" w:rsidP="00F13890">
            <w:pPr>
              <w:pStyle w:val="ListParagraph"/>
              <w:numPr>
                <w:ilvl w:val="0"/>
                <w:numId w:val="2"/>
              </w:numPr>
              <w:rPr>
                <w:rFonts w:eastAsiaTheme="minorHAnsi" w:cs="Arial"/>
              </w:rPr>
            </w:pPr>
            <w:r w:rsidRPr="00940517">
              <w:rPr>
                <w:rFonts w:eastAsiaTheme="minorHAnsi" w:cs="Arial"/>
              </w:rPr>
              <w:t>Overview of the Data Reference Guide</w:t>
            </w:r>
          </w:p>
        </w:tc>
      </w:tr>
      <w:tr w:rsidR="003047CB" w:rsidRPr="00940517" w14:paraId="0B5228F7" w14:textId="77777777" w:rsidTr="00CE15DC">
        <w:trPr>
          <w:cantSplit/>
        </w:trPr>
        <w:tc>
          <w:tcPr>
            <w:tcW w:w="2250" w:type="dxa"/>
            <w:vAlign w:val="center"/>
          </w:tcPr>
          <w:p w14:paraId="2B0FE5A2" w14:textId="4C1FD1C9" w:rsidR="003047CB" w:rsidRPr="00940517" w:rsidRDefault="1FDB24CA" w:rsidP="00CE15DC">
            <w:pPr>
              <w:jc w:val="center"/>
              <w:rPr>
                <w:rFonts w:cs="Arial"/>
              </w:rPr>
            </w:pPr>
            <w:r w:rsidRPr="00940517">
              <w:rPr>
                <w:rFonts w:cs="Arial"/>
              </w:rPr>
              <w:t>February 9, 2022</w:t>
            </w:r>
          </w:p>
        </w:tc>
        <w:tc>
          <w:tcPr>
            <w:tcW w:w="3145" w:type="dxa"/>
            <w:vAlign w:val="center"/>
          </w:tcPr>
          <w:p w14:paraId="1BE93ED0" w14:textId="5CAD2DA6" w:rsidR="003047CB" w:rsidRPr="00940517" w:rsidRDefault="1FDB24CA" w:rsidP="00CE15DC">
            <w:pPr>
              <w:jc w:val="center"/>
              <w:rPr>
                <w:rFonts w:cs="Arial"/>
              </w:rPr>
            </w:pPr>
            <w:r w:rsidRPr="00940517">
              <w:rPr>
                <w:rFonts w:cs="Arial"/>
              </w:rPr>
              <w:t>Advisory Commission on Special Education</w:t>
            </w:r>
          </w:p>
        </w:tc>
        <w:tc>
          <w:tcPr>
            <w:tcW w:w="1980" w:type="dxa"/>
            <w:vAlign w:val="center"/>
          </w:tcPr>
          <w:p w14:paraId="5E1B6590" w14:textId="42DC20E1" w:rsidR="003047CB" w:rsidRPr="00940517" w:rsidRDefault="1FDB24CA" w:rsidP="00CE15DC">
            <w:pPr>
              <w:jc w:val="center"/>
              <w:rPr>
                <w:rFonts w:cs="Arial"/>
              </w:rPr>
            </w:pPr>
            <w:r w:rsidRPr="00940517">
              <w:rPr>
                <w:rFonts w:cs="Arial"/>
              </w:rPr>
              <w:t>10</w:t>
            </w:r>
          </w:p>
        </w:tc>
        <w:tc>
          <w:tcPr>
            <w:tcW w:w="5850" w:type="dxa"/>
          </w:tcPr>
          <w:p w14:paraId="53564D27" w14:textId="77777777" w:rsidR="003047CB" w:rsidRPr="00940517" w:rsidRDefault="1FDB24CA" w:rsidP="0E36A200">
            <w:pPr>
              <w:pStyle w:val="ListParagraph"/>
              <w:numPr>
                <w:ilvl w:val="0"/>
                <w:numId w:val="2"/>
              </w:numPr>
              <w:rPr>
                <w:rFonts w:eastAsiaTheme="minorEastAsia" w:cs="Arial"/>
              </w:rPr>
            </w:pPr>
            <w:r w:rsidRPr="00940517">
              <w:rPr>
                <w:rFonts w:eastAsiaTheme="minorEastAsia" w:cs="Arial"/>
              </w:rPr>
              <w:t>2021 Data Reporting and Accountability</w:t>
            </w:r>
          </w:p>
          <w:p w14:paraId="303176E9" w14:textId="77777777" w:rsidR="003047CB" w:rsidRPr="00940517" w:rsidRDefault="1FDB24CA" w:rsidP="0E36A200">
            <w:pPr>
              <w:pStyle w:val="ListParagraph"/>
              <w:numPr>
                <w:ilvl w:val="0"/>
                <w:numId w:val="2"/>
              </w:numPr>
              <w:rPr>
                <w:rFonts w:eastAsiaTheme="minorEastAsia" w:cs="Arial"/>
              </w:rPr>
            </w:pPr>
            <w:r w:rsidRPr="00940517">
              <w:rPr>
                <w:rFonts w:eastAsiaTheme="minorEastAsia" w:cs="Arial"/>
              </w:rPr>
              <w:t xml:space="preserve">2022 Accountability </w:t>
            </w:r>
          </w:p>
          <w:p w14:paraId="5C142166" w14:textId="575CE002" w:rsidR="003047CB" w:rsidRPr="00940517" w:rsidRDefault="1FDB24CA" w:rsidP="0E36A200">
            <w:pPr>
              <w:pStyle w:val="ListParagraph"/>
              <w:numPr>
                <w:ilvl w:val="0"/>
                <w:numId w:val="2"/>
              </w:numPr>
              <w:rPr>
                <w:rFonts w:eastAsiaTheme="minorEastAsia" w:cs="Arial"/>
              </w:rPr>
            </w:pPr>
            <w:r w:rsidRPr="00940517">
              <w:rPr>
                <w:rFonts w:eastAsiaTheme="minorEastAsia" w:cs="Arial"/>
              </w:rPr>
              <w:t xml:space="preserve">2023 Accountability </w:t>
            </w:r>
          </w:p>
        </w:tc>
      </w:tr>
      <w:tr w:rsidR="00A40287" w:rsidRPr="00940517" w14:paraId="1AD921FD" w14:textId="77777777" w:rsidTr="00CE15DC">
        <w:trPr>
          <w:cantSplit/>
        </w:trPr>
        <w:tc>
          <w:tcPr>
            <w:tcW w:w="2250" w:type="dxa"/>
            <w:vAlign w:val="center"/>
          </w:tcPr>
          <w:p w14:paraId="4D7FE216" w14:textId="4E61CBC1" w:rsidR="00A40287" w:rsidRPr="00940517" w:rsidRDefault="1090B157" w:rsidP="00CE15DC">
            <w:pPr>
              <w:jc w:val="center"/>
              <w:rPr>
                <w:rFonts w:cs="Arial"/>
              </w:rPr>
            </w:pPr>
            <w:r w:rsidRPr="00940517">
              <w:rPr>
                <w:rFonts w:cs="Arial"/>
              </w:rPr>
              <w:t>February 11, 2022</w:t>
            </w:r>
          </w:p>
        </w:tc>
        <w:tc>
          <w:tcPr>
            <w:tcW w:w="3145" w:type="dxa"/>
            <w:vAlign w:val="center"/>
          </w:tcPr>
          <w:p w14:paraId="3E114B5F" w14:textId="10FBDB97" w:rsidR="00A40287" w:rsidRPr="00940517" w:rsidRDefault="1090B157" w:rsidP="00CE15DC">
            <w:pPr>
              <w:jc w:val="center"/>
              <w:rPr>
                <w:rFonts w:cs="Arial"/>
              </w:rPr>
            </w:pPr>
            <w:r w:rsidRPr="00940517">
              <w:rPr>
                <w:rFonts w:cs="Arial"/>
              </w:rPr>
              <w:t>SFSD Meeting</w:t>
            </w:r>
          </w:p>
        </w:tc>
        <w:tc>
          <w:tcPr>
            <w:tcW w:w="1980" w:type="dxa"/>
            <w:vAlign w:val="center"/>
          </w:tcPr>
          <w:p w14:paraId="38854C23" w14:textId="1E73ABB7" w:rsidR="00A40287" w:rsidRPr="00940517" w:rsidRDefault="5987CC35" w:rsidP="00CE15DC">
            <w:pPr>
              <w:jc w:val="center"/>
              <w:rPr>
                <w:rFonts w:cs="Arial"/>
              </w:rPr>
            </w:pPr>
            <w:r w:rsidRPr="00940517">
              <w:rPr>
                <w:rFonts w:cs="Arial"/>
              </w:rPr>
              <w:t>308</w:t>
            </w:r>
          </w:p>
        </w:tc>
        <w:tc>
          <w:tcPr>
            <w:tcW w:w="5850" w:type="dxa"/>
          </w:tcPr>
          <w:p w14:paraId="28DDC9DF" w14:textId="77777777" w:rsidR="00644C63" w:rsidRPr="00940517" w:rsidRDefault="413970B5" w:rsidP="0E36A200">
            <w:pPr>
              <w:pStyle w:val="ListParagraph"/>
              <w:numPr>
                <w:ilvl w:val="0"/>
                <w:numId w:val="2"/>
              </w:numPr>
              <w:rPr>
                <w:rFonts w:eastAsiaTheme="minorEastAsia" w:cs="Arial"/>
              </w:rPr>
            </w:pPr>
            <w:r w:rsidRPr="00940517">
              <w:rPr>
                <w:rFonts w:eastAsiaTheme="minorEastAsia" w:cs="Arial"/>
              </w:rPr>
              <w:t xml:space="preserve">2021 DataQuest and California School Dashboard, including Additional Reports </w:t>
            </w:r>
          </w:p>
          <w:p w14:paraId="6CC69F46" w14:textId="386F39EE" w:rsidR="00A40287" w:rsidRPr="00940517" w:rsidRDefault="413970B5" w:rsidP="0E36A200">
            <w:pPr>
              <w:pStyle w:val="ListParagraph"/>
              <w:numPr>
                <w:ilvl w:val="0"/>
                <w:numId w:val="2"/>
              </w:numPr>
              <w:rPr>
                <w:rFonts w:eastAsiaTheme="minorEastAsia" w:cs="Arial"/>
              </w:rPr>
            </w:pPr>
            <w:r w:rsidRPr="00940517">
              <w:rPr>
                <w:rFonts w:eastAsiaTheme="minorEastAsia" w:cs="Arial"/>
              </w:rPr>
              <w:t xml:space="preserve">2022 Accountability </w:t>
            </w:r>
          </w:p>
        </w:tc>
      </w:tr>
      <w:tr w:rsidR="780A6C06" w:rsidRPr="00940517" w14:paraId="72C16600" w14:textId="77777777" w:rsidTr="00CE15DC">
        <w:trPr>
          <w:cantSplit/>
        </w:trPr>
        <w:tc>
          <w:tcPr>
            <w:tcW w:w="2250" w:type="dxa"/>
            <w:vAlign w:val="center"/>
          </w:tcPr>
          <w:p w14:paraId="267D767B" w14:textId="26BE5339" w:rsidR="1448A539" w:rsidRPr="00940517" w:rsidRDefault="1448A539" w:rsidP="00CE15DC">
            <w:pPr>
              <w:jc w:val="center"/>
              <w:rPr>
                <w:rFonts w:cs="Arial"/>
              </w:rPr>
            </w:pPr>
            <w:r w:rsidRPr="00940517">
              <w:rPr>
                <w:rFonts w:cs="Arial"/>
              </w:rPr>
              <w:t>February 17, 2022</w:t>
            </w:r>
          </w:p>
        </w:tc>
        <w:tc>
          <w:tcPr>
            <w:tcW w:w="3145" w:type="dxa"/>
            <w:vAlign w:val="center"/>
          </w:tcPr>
          <w:p w14:paraId="63D1A38E" w14:textId="4477E29D" w:rsidR="1448A539" w:rsidRPr="00940517" w:rsidRDefault="1448A539" w:rsidP="00CE15DC">
            <w:pPr>
              <w:jc w:val="center"/>
              <w:rPr>
                <w:rFonts w:cs="Arial"/>
              </w:rPr>
            </w:pPr>
            <w:r w:rsidRPr="00940517">
              <w:rPr>
                <w:rFonts w:cs="Arial"/>
              </w:rPr>
              <w:t>BCN Meeting</w:t>
            </w:r>
          </w:p>
        </w:tc>
        <w:tc>
          <w:tcPr>
            <w:tcW w:w="1980" w:type="dxa"/>
            <w:vAlign w:val="center"/>
          </w:tcPr>
          <w:p w14:paraId="6D7EAF15" w14:textId="24DDFAC3" w:rsidR="1448A539" w:rsidRPr="00940517" w:rsidRDefault="1448A539" w:rsidP="00CE15DC">
            <w:pPr>
              <w:jc w:val="center"/>
              <w:rPr>
                <w:rFonts w:cs="Arial"/>
              </w:rPr>
            </w:pPr>
            <w:r w:rsidRPr="00940517">
              <w:rPr>
                <w:rFonts w:cs="Arial"/>
              </w:rPr>
              <w:t>125</w:t>
            </w:r>
          </w:p>
        </w:tc>
        <w:tc>
          <w:tcPr>
            <w:tcW w:w="5850" w:type="dxa"/>
          </w:tcPr>
          <w:p w14:paraId="718058EE" w14:textId="6A7D1543" w:rsidR="1448A539" w:rsidRPr="00940517" w:rsidRDefault="1448A539" w:rsidP="00F13890">
            <w:pPr>
              <w:pStyle w:val="ListParagraph"/>
              <w:numPr>
                <w:ilvl w:val="0"/>
                <w:numId w:val="2"/>
              </w:numPr>
              <w:rPr>
                <w:rFonts w:asciiTheme="minorHAnsi" w:eastAsiaTheme="minorEastAsia" w:hAnsiTheme="minorHAnsi" w:cstheme="minorBidi"/>
              </w:rPr>
            </w:pPr>
            <w:r w:rsidRPr="00940517">
              <w:rPr>
                <w:rFonts w:eastAsiaTheme="minorEastAsia" w:cs="Arial"/>
              </w:rPr>
              <w:t>Accountability and Data Reporting for the 2020–21 School Year</w:t>
            </w:r>
          </w:p>
          <w:p w14:paraId="5F0CDDE2" w14:textId="29906238" w:rsidR="1448A539" w:rsidRPr="00940517" w:rsidRDefault="1448A539" w:rsidP="00F13890">
            <w:pPr>
              <w:pStyle w:val="ListParagraph"/>
              <w:numPr>
                <w:ilvl w:val="0"/>
                <w:numId w:val="2"/>
              </w:numPr>
            </w:pPr>
            <w:r w:rsidRPr="00940517">
              <w:rPr>
                <w:rFonts w:eastAsiaTheme="minorEastAsia" w:cs="Arial"/>
              </w:rPr>
              <w:t>2022–23 CSI and ATSI</w:t>
            </w:r>
          </w:p>
          <w:p w14:paraId="3D028933" w14:textId="4C2D2ED4" w:rsidR="616FB8E9" w:rsidRPr="00940517" w:rsidRDefault="616FB8E9" w:rsidP="00F13890">
            <w:pPr>
              <w:pStyle w:val="ListParagraph"/>
              <w:numPr>
                <w:ilvl w:val="0"/>
                <w:numId w:val="2"/>
              </w:numPr>
            </w:pPr>
            <w:r w:rsidRPr="00940517">
              <w:rPr>
                <w:rFonts w:eastAsiaTheme="minorEastAsia" w:cs="Arial"/>
              </w:rPr>
              <w:t>Williams List Update</w:t>
            </w:r>
          </w:p>
        </w:tc>
      </w:tr>
    </w:tbl>
    <w:p w14:paraId="14C1FF45" w14:textId="77777777" w:rsidR="001945CF" w:rsidRPr="00940517" w:rsidRDefault="001945CF" w:rsidP="004132C6">
      <w:pPr>
        <w:sectPr w:rsidR="001945CF" w:rsidRPr="00940517" w:rsidSect="005C09B7">
          <w:headerReference w:type="default" r:id="rId143"/>
          <w:headerReference w:type="first" r:id="rId144"/>
          <w:footerReference w:type="first" r:id="rId145"/>
          <w:pgSz w:w="15840" w:h="12240" w:orient="landscape"/>
          <w:pgMar w:top="1440" w:right="1440" w:bottom="1440" w:left="1440" w:header="720" w:footer="720" w:gutter="0"/>
          <w:pgNumType w:start="1"/>
          <w:cols w:space="720"/>
          <w:docGrid w:linePitch="360"/>
        </w:sectPr>
      </w:pPr>
    </w:p>
    <w:p w14:paraId="33EC7696" w14:textId="4C2D2ED4" w:rsidR="002659CE" w:rsidRPr="00940517" w:rsidRDefault="4E531E50" w:rsidP="00A50B31">
      <w:pPr>
        <w:pStyle w:val="Heading2"/>
      </w:pPr>
      <w:r w:rsidRPr="00940517">
        <w:lastRenderedPageBreak/>
        <w:t>Attachment 3</w:t>
      </w:r>
    </w:p>
    <w:p w14:paraId="57B1F051" w14:textId="44661D8C" w:rsidR="001945CF" w:rsidRPr="00940517" w:rsidRDefault="5517FACA" w:rsidP="00205682">
      <w:pPr>
        <w:pStyle w:val="Heading3"/>
      </w:pPr>
      <w:r w:rsidRPr="00940517">
        <w:t>Dashboard Alternative School Status Waiver</w:t>
      </w:r>
    </w:p>
    <w:p w14:paraId="6BE80AC1" w14:textId="2D01E009" w:rsidR="000832DD" w:rsidRPr="00940517" w:rsidRDefault="3FC2A7B6" w:rsidP="0E36A200">
      <w:pPr>
        <w:spacing w:after="240"/>
        <w:rPr>
          <w:rFonts w:eastAsiaTheme="majorEastAsia"/>
        </w:rPr>
      </w:pPr>
      <w:r w:rsidRPr="00940517">
        <w:rPr>
          <w:rFonts w:eastAsiaTheme="majorEastAsia"/>
        </w:rPr>
        <w:t>In October 2020, the C</w:t>
      </w:r>
      <w:r w:rsidR="6D6240A4" w:rsidRPr="00940517">
        <w:rPr>
          <w:rFonts w:eastAsiaTheme="majorEastAsia"/>
        </w:rPr>
        <w:t xml:space="preserve">alifornia </w:t>
      </w:r>
      <w:r w:rsidRPr="00940517">
        <w:rPr>
          <w:rFonts w:eastAsiaTheme="majorEastAsia"/>
        </w:rPr>
        <w:t>D</w:t>
      </w:r>
      <w:r w:rsidR="6D6240A4" w:rsidRPr="00940517">
        <w:rPr>
          <w:rFonts w:eastAsiaTheme="majorEastAsia"/>
        </w:rPr>
        <w:t xml:space="preserve">epartment of </w:t>
      </w:r>
      <w:r w:rsidRPr="00940517">
        <w:rPr>
          <w:rFonts w:eastAsiaTheme="majorEastAsia"/>
        </w:rPr>
        <w:t>E</w:t>
      </w:r>
      <w:r w:rsidR="6D6240A4" w:rsidRPr="00940517">
        <w:rPr>
          <w:rFonts w:eastAsiaTheme="majorEastAsia"/>
        </w:rPr>
        <w:t>ducation (CDE)</w:t>
      </w:r>
      <w:r w:rsidRPr="00940517">
        <w:rPr>
          <w:rFonts w:eastAsiaTheme="majorEastAsia"/>
        </w:rPr>
        <w:t xml:space="preserve"> received a letter from the </w:t>
      </w:r>
      <w:r w:rsidR="6D6240A4" w:rsidRPr="00940517">
        <w:rPr>
          <w:rFonts w:eastAsiaTheme="majorEastAsia"/>
        </w:rPr>
        <w:t>U.S. Department of Education (</w:t>
      </w:r>
      <w:r w:rsidRPr="00940517">
        <w:rPr>
          <w:rFonts w:eastAsiaTheme="majorEastAsia"/>
        </w:rPr>
        <w:t>ED</w:t>
      </w:r>
      <w:r w:rsidR="6D6240A4" w:rsidRPr="00940517">
        <w:rPr>
          <w:rFonts w:eastAsiaTheme="majorEastAsia"/>
        </w:rPr>
        <w:t>)</w:t>
      </w:r>
      <w:r w:rsidRPr="00940517">
        <w:rPr>
          <w:rFonts w:eastAsiaTheme="majorEastAsia"/>
        </w:rPr>
        <w:t xml:space="preserve"> that raised concerns about California’s use of </w:t>
      </w:r>
      <w:r w:rsidR="6D6240A4" w:rsidRPr="00940517">
        <w:rPr>
          <w:rFonts w:eastAsiaTheme="majorEastAsia"/>
        </w:rPr>
        <w:t>the Dashboard Alternative School Status (</w:t>
      </w:r>
      <w:r w:rsidRPr="00940517">
        <w:rPr>
          <w:rFonts w:eastAsiaTheme="majorEastAsia"/>
        </w:rPr>
        <w:t>DASS</w:t>
      </w:r>
      <w:r w:rsidR="6D6240A4" w:rsidRPr="00940517">
        <w:rPr>
          <w:rFonts w:eastAsiaTheme="majorEastAsia"/>
        </w:rPr>
        <w:t>)</w:t>
      </w:r>
      <w:r w:rsidRPr="00940517">
        <w:rPr>
          <w:rFonts w:eastAsiaTheme="majorEastAsia"/>
        </w:rPr>
        <w:t xml:space="preserve"> “modified” measures on the Academic Indicator and the Graduation Rate Indicator. The CDE developed these modifications to fairly evaluate the more than 1,000 alternative schools that mainly serve the state’s “at risk” or vulnerable populations, such as students who have been expelled, incarcerated, on probation, habitually truant, behaviorally challenged, or severely credit deficient. Without modified measures that directly address the needs of this unique population, DASS schools may be over-identified when compiling the list of schools eligible for support.</w:t>
      </w:r>
    </w:p>
    <w:p w14:paraId="312148D9" w14:textId="536203BC" w:rsidR="000832DD" w:rsidRPr="00940517" w:rsidRDefault="3FC2A7B6" w:rsidP="0E36A200">
      <w:pPr>
        <w:spacing w:after="240"/>
        <w:rPr>
          <w:rFonts w:eastAsiaTheme="majorEastAsia"/>
        </w:rPr>
      </w:pPr>
      <w:r w:rsidRPr="00940517">
        <w:rPr>
          <w:rFonts w:eastAsiaTheme="majorEastAsia"/>
        </w:rPr>
        <w:t xml:space="preserve">The modification made to the Academic Indicator is through the application of a different set of cut scores for measuring academic achievement. In September 2019, the </w:t>
      </w:r>
      <w:r w:rsidR="6D6240A4" w:rsidRPr="00940517">
        <w:rPr>
          <w:rFonts w:eastAsiaTheme="majorEastAsia"/>
        </w:rPr>
        <w:t>State Board of Education (</w:t>
      </w:r>
      <w:r w:rsidRPr="00940517">
        <w:rPr>
          <w:rFonts w:eastAsiaTheme="majorEastAsia"/>
        </w:rPr>
        <w:t>SBE</w:t>
      </w:r>
      <w:r w:rsidR="6D6240A4" w:rsidRPr="00940517">
        <w:rPr>
          <w:rFonts w:eastAsiaTheme="majorEastAsia"/>
        </w:rPr>
        <w:t>)</w:t>
      </w:r>
      <w:r w:rsidRPr="00940517">
        <w:rPr>
          <w:rFonts w:eastAsiaTheme="majorEastAsia"/>
        </w:rPr>
        <w:t xml:space="preserve"> approved an adjustment to the cut scores for the Low and Very Low Status levels, thus increasing the number of DASS schools in the Low level and decreasing the number in the Very Low level.</w:t>
      </w:r>
    </w:p>
    <w:p w14:paraId="64F4695F" w14:textId="77777777" w:rsidR="000832DD" w:rsidRPr="00940517" w:rsidRDefault="3FC2A7B6" w:rsidP="0E36A200">
      <w:pPr>
        <w:spacing w:after="240"/>
        <w:rPr>
          <w:rFonts w:eastAsiaTheme="majorEastAsia"/>
        </w:rPr>
      </w:pPr>
      <w:r w:rsidRPr="00940517">
        <w:rPr>
          <w:rFonts w:cs="Arial"/>
        </w:rPr>
        <w:t>The modification to the Graduation Rate Indicator is through the development of a one-year DASS graduation rate that is based on students in grade twelve. In this rate, students are counted as graduates if they earned a traditional high school diploma, received a high school equivalency certificate, passed the California High School Proficiency Exam, or earned a Special Education Certificate of Completion. Additionally, students must also meet specific enrollment requirements to be included in the denominator of this rate. Because most students who enroll at DASS schools are not on track to graduate within four years after entering grade nine, continued production of a modified graduation rate would fairly and appropriately evaluate a DASS school’s impact on their students.</w:t>
      </w:r>
    </w:p>
    <w:p w14:paraId="0F7B58BA" w14:textId="3697A696" w:rsidR="000832DD" w:rsidRPr="00940517" w:rsidRDefault="3FC2A7B6" w:rsidP="0E36A200">
      <w:pPr>
        <w:spacing w:after="240"/>
        <w:rPr>
          <w:rFonts w:eastAsiaTheme="majorEastAsia"/>
        </w:rPr>
      </w:pPr>
      <w:r w:rsidRPr="00940517">
        <w:rPr>
          <w:rFonts w:eastAsiaTheme="majorEastAsia"/>
        </w:rPr>
        <w:t>In response to ED’s October 2020 letter, in January 2021, the SBE adopted amendments to the E</w:t>
      </w:r>
      <w:r w:rsidR="3A429FE3" w:rsidRPr="00940517">
        <w:rPr>
          <w:rFonts w:eastAsiaTheme="majorEastAsia"/>
        </w:rPr>
        <w:t xml:space="preserve">very </w:t>
      </w:r>
      <w:r w:rsidRPr="00940517">
        <w:rPr>
          <w:rFonts w:eastAsiaTheme="majorEastAsia"/>
        </w:rPr>
        <w:t>S</w:t>
      </w:r>
      <w:r w:rsidR="3A429FE3" w:rsidRPr="00940517">
        <w:rPr>
          <w:rFonts w:eastAsiaTheme="majorEastAsia"/>
        </w:rPr>
        <w:t xml:space="preserve">tudent </w:t>
      </w:r>
      <w:r w:rsidRPr="00940517">
        <w:rPr>
          <w:rFonts w:eastAsiaTheme="majorEastAsia"/>
        </w:rPr>
        <w:t>S</w:t>
      </w:r>
      <w:r w:rsidR="3A429FE3" w:rsidRPr="00940517">
        <w:rPr>
          <w:rFonts w:eastAsiaTheme="majorEastAsia"/>
        </w:rPr>
        <w:t xml:space="preserve">ucceeds </w:t>
      </w:r>
      <w:r w:rsidRPr="00940517">
        <w:rPr>
          <w:rFonts w:eastAsiaTheme="majorEastAsia"/>
        </w:rPr>
        <w:t>A</w:t>
      </w:r>
      <w:r w:rsidR="3A429FE3" w:rsidRPr="00940517">
        <w:rPr>
          <w:rFonts w:eastAsiaTheme="majorEastAsia"/>
        </w:rPr>
        <w:t>ct (ESSA)</w:t>
      </w:r>
      <w:r w:rsidRPr="00940517">
        <w:rPr>
          <w:rFonts w:eastAsiaTheme="majorEastAsia"/>
        </w:rPr>
        <w:t xml:space="preserve"> State Plan, which included a description of the proposed modifications made to the Academic Indicator cut scores for DASS schools and the one-year graduation rate that was developed for DASS schools. In January 2022, the ED denied the proposed amendments to </w:t>
      </w:r>
      <w:r w:rsidR="3A429FE3" w:rsidRPr="00940517">
        <w:rPr>
          <w:rFonts w:eastAsiaTheme="majorEastAsia"/>
        </w:rPr>
        <w:t>California’s C</w:t>
      </w:r>
      <w:r w:rsidRPr="00940517">
        <w:rPr>
          <w:rFonts w:eastAsiaTheme="majorEastAsia"/>
        </w:rPr>
        <w:t xml:space="preserve">onsolidated State </w:t>
      </w:r>
      <w:r w:rsidR="3A429FE3" w:rsidRPr="00940517">
        <w:rPr>
          <w:rFonts w:eastAsiaTheme="majorEastAsia"/>
        </w:rPr>
        <w:t>P</w:t>
      </w:r>
      <w:r w:rsidRPr="00940517">
        <w:rPr>
          <w:rFonts w:eastAsiaTheme="majorEastAsia"/>
        </w:rPr>
        <w:t>lan. As a result, the next proposed step is to submit a waiver to the ED to request the continued use of an alternative accountability system for DASS schools.</w:t>
      </w:r>
    </w:p>
    <w:p w14:paraId="5685F14B" w14:textId="77777777" w:rsidR="00526D20" w:rsidRPr="00940517" w:rsidRDefault="2216A53F" w:rsidP="00526D20">
      <w:pPr>
        <w:pStyle w:val="Heading3"/>
      </w:pPr>
      <w:r w:rsidRPr="00940517">
        <w:lastRenderedPageBreak/>
        <w:t>Educational Partner Feedback</w:t>
      </w:r>
    </w:p>
    <w:p w14:paraId="4DB51542" w14:textId="637D4734" w:rsidR="00524A30" w:rsidRPr="00940517" w:rsidRDefault="3FC2A7B6" w:rsidP="0E36A200">
      <w:pPr>
        <w:spacing w:after="240"/>
        <w:rPr>
          <w:rFonts w:cs="Arial"/>
        </w:rPr>
      </w:pPr>
      <w:r w:rsidRPr="00940517">
        <w:rPr>
          <w:rFonts w:cs="Arial"/>
        </w:rPr>
        <w:t>The CDE reviewed the denial from the ED, along with the proposed next step to submit a waiver, to various interest groups. On February 9, 2022, the Advisory Commission on Special Education (ACSE) was supportive of the SBE moving forward on a waiver and/or hybrid reporting of DASS modified methods should the waiver be denied by ED. Specifically, the ACSE acknowledged the importance of reporting on DASS schools to compare with like populations of students.</w:t>
      </w:r>
    </w:p>
    <w:p w14:paraId="33AF2CA1" w14:textId="0DFAA449" w:rsidR="00524A30" w:rsidRPr="00940517" w:rsidRDefault="3FC2A7B6" w:rsidP="0E36A200">
      <w:pPr>
        <w:spacing w:after="240"/>
        <w:rPr>
          <w:rFonts w:cs="Arial"/>
        </w:rPr>
      </w:pPr>
      <w:r w:rsidRPr="00940517">
        <w:rPr>
          <w:rFonts w:cs="Arial"/>
        </w:rPr>
        <w:t xml:space="preserve">On February 10, 2022, the </w:t>
      </w:r>
      <w:r w:rsidR="4E23CCAA" w:rsidRPr="00940517">
        <w:rPr>
          <w:rFonts w:cs="Arial"/>
        </w:rPr>
        <w:t xml:space="preserve">CDE’s </w:t>
      </w:r>
      <w:r w:rsidRPr="00940517">
        <w:rPr>
          <w:rFonts w:cs="Arial"/>
        </w:rPr>
        <w:t>T</w:t>
      </w:r>
      <w:r w:rsidR="4E23CCAA" w:rsidRPr="00940517">
        <w:rPr>
          <w:rFonts w:cs="Arial"/>
        </w:rPr>
        <w:t xml:space="preserve">echnical </w:t>
      </w:r>
      <w:r w:rsidRPr="00940517">
        <w:rPr>
          <w:rFonts w:cs="Arial"/>
        </w:rPr>
        <w:t>D</w:t>
      </w:r>
      <w:r w:rsidR="4E23CCAA" w:rsidRPr="00940517">
        <w:rPr>
          <w:rFonts w:cs="Arial"/>
        </w:rPr>
        <w:t xml:space="preserve">esign </w:t>
      </w:r>
      <w:r w:rsidRPr="00940517">
        <w:rPr>
          <w:rFonts w:cs="Arial"/>
        </w:rPr>
        <w:t>G</w:t>
      </w:r>
      <w:r w:rsidR="4E23CCAA" w:rsidRPr="00940517">
        <w:rPr>
          <w:rFonts w:cs="Arial"/>
        </w:rPr>
        <w:t>roup</w:t>
      </w:r>
      <w:r w:rsidRPr="00940517">
        <w:rPr>
          <w:rFonts w:cs="Arial"/>
        </w:rPr>
        <w:t xml:space="preserve"> was also supportive of keeping DASS as part of the state’s accountability system. </w:t>
      </w:r>
      <w:r w:rsidR="1241FA40" w:rsidRPr="00940517">
        <w:rPr>
          <w:rFonts w:cs="Arial"/>
        </w:rPr>
        <w:t>However, p</w:t>
      </w:r>
      <w:r w:rsidRPr="00940517">
        <w:rPr>
          <w:rFonts w:cs="Arial"/>
        </w:rPr>
        <w:t xml:space="preserve">rior to making </w:t>
      </w:r>
      <w:r w:rsidR="498C7AC2" w:rsidRPr="00940517">
        <w:rPr>
          <w:rFonts w:cs="Arial"/>
        </w:rPr>
        <w:t xml:space="preserve">any </w:t>
      </w:r>
      <w:r w:rsidRPr="00940517">
        <w:rPr>
          <w:rFonts w:cs="Arial"/>
        </w:rPr>
        <w:t xml:space="preserve">recommendations to the SBE, the group </w:t>
      </w:r>
      <w:r w:rsidR="1241FA40" w:rsidRPr="00940517">
        <w:rPr>
          <w:rFonts w:cs="Arial"/>
        </w:rPr>
        <w:t>requested</w:t>
      </w:r>
      <w:r w:rsidRPr="00940517">
        <w:rPr>
          <w:rFonts w:cs="Arial"/>
        </w:rPr>
        <w:t xml:space="preserve"> specific data simulations to review at their next meeting in April 2022.</w:t>
      </w:r>
    </w:p>
    <w:p w14:paraId="017EE0EB" w14:textId="5B1C7698" w:rsidR="00C714F5" w:rsidRPr="00940517" w:rsidRDefault="00C714F5" w:rsidP="533F1320">
      <w:pPr>
        <w:spacing w:after="240"/>
        <w:rPr>
          <w:rFonts w:cs="Arial"/>
        </w:rPr>
      </w:pPr>
      <w:r w:rsidRPr="00940517">
        <w:rPr>
          <w:rFonts w:cs="Arial"/>
        </w:rPr>
        <w:t xml:space="preserve">On February 18, 2022, the California Practitioners Advisory Group (CPAG) unanimously agreed that the CDE should submit a waiver to the ED </w:t>
      </w:r>
      <w:r w:rsidR="00DA7AFC" w:rsidRPr="00940517">
        <w:rPr>
          <w:rFonts w:cs="Arial"/>
        </w:rPr>
        <w:t>to allow for the continued use of modified methods for DASS schools.</w:t>
      </w:r>
      <w:r w:rsidRPr="00940517">
        <w:rPr>
          <w:rFonts w:cs="Arial"/>
        </w:rPr>
        <w:t xml:space="preserve"> </w:t>
      </w:r>
      <w:r w:rsidR="00DA7AFC" w:rsidRPr="00940517">
        <w:rPr>
          <w:rFonts w:cs="Arial"/>
        </w:rPr>
        <w:t>The members specified that th</w:t>
      </w:r>
      <w:r w:rsidRPr="00940517">
        <w:rPr>
          <w:rFonts w:cs="Arial"/>
        </w:rPr>
        <w:t xml:space="preserve">e standards set for traditional schools do not reflect the progress achieved in DASS schools and are not meaningful to DASS educators. Members also stressed that if the one-year DASS graduation rate is no longer used in accountability, DASS schools will automatically be negatively affected on both the Graduation Rate Indicator and the CCI as credit on the CCI is only granted if a student </w:t>
      </w:r>
      <w:proofErr w:type="gramStart"/>
      <w:r w:rsidRPr="00940517">
        <w:rPr>
          <w:rFonts w:cs="Arial"/>
        </w:rPr>
        <w:t>graduates</w:t>
      </w:r>
      <w:proofErr w:type="gramEnd"/>
      <w:r w:rsidRPr="00940517">
        <w:rPr>
          <w:rFonts w:cs="Arial"/>
        </w:rPr>
        <w:t>.</w:t>
      </w:r>
    </w:p>
    <w:p w14:paraId="4DC3661E" w14:textId="77777777" w:rsidR="0088206E" w:rsidRPr="00940517" w:rsidRDefault="0088206E" w:rsidP="004132C6"/>
    <w:p w14:paraId="53706AAB" w14:textId="2B7F4D40" w:rsidR="004D2F0C" w:rsidRPr="00940517" w:rsidRDefault="004D2F0C" w:rsidP="004132C6">
      <w:pPr>
        <w:sectPr w:rsidR="004D2F0C" w:rsidRPr="00940517" w:rsidSect="00644C63">
          <w:headerReference w:type="default" r:id="rId146"/>
          <w:pgSz w:w="12240" w:h="15840"/>
          <w:pgMar w:top="1440" w:right="1440" w:bottom="1440" w:left="1440" w:header="720" w:footer="720" w:gutter="0"/>
          <w:pgNumType w:start="1"/>
          <w:cols w:space="720"/>
          <w:docGrid w:linePitch="360"/>
        </w:sectPr>
      </w:pPr>
    </w:p>
    <w:p w14:paraId="7333A923" w14:textId="7E72BC94" w:rsidR="001945CF" w:rsidRPr="00940517" w:rsidRDefault="4E531E50" w:rsidP="0E36A200">
      <w:pPr>
        <w:pStyle w:val="Heading2"/>
      </w:pPr>
      <w:r w:rsidRPr="00940517">
        <w:lastRenderedPageBreak/>
        <w:t>Attachment 4</w:t>
      </w:r>
    </w:p>
    <w:p w14:paraId="12B980B7" w14:textId="2D2A63A3" w:rsidR="001945CF" w:rsidRPr="001945CF" w:rsidRDefault="4E531E50" w:rsidP="001945CF">
      <w:r w:rsidRPr="00940517">
        <w:t xml:space="preserve">Note: Attachment 4 is provided as a separate pdf link that can be found on the State Board of Education </w:t>
      </w:r>
      <w:r w:rsidR="08EF6B3A" w:rsidRPr="00940517">
        <w:t xml:space="preserve">Agenda for </w:t>
      </w:r>
      <w:r w:rsidRPr="00940517">
        <w:t xml:space="preserve">March </w:t>
      </w:r>
      <w:r w:rsidR="3D3EA441" w:rsidRPr="00940517">
        <w:t xml:space="preserve">2022 </w:t>
      </w:r>
      <w:r w:rsidRPr="00940517">
        <w:t xml:space="preserve">web page at </w:t>
      </w:r>
      <w:hyperlink r:id="rId147" w:tooltip="SBE Agenda for March 2022" w:history="1">
        <w:r w:rsidR="00A15DE8" w:rsidRPr="00940517">
          <w:rPr>
            <w:rStyle w:val="Hyperlink"/>
          </w:rPr>
          <w:t>https://www.cde.ca.gov/be/ag/ag/yr22/agenda202203.asp</w:t>
        </w:r>
      </w:hyperlink>
      <w:r w:rsidRPr="00940517">
        <w:t>.</w:t>
      </w:r>
      <w:bookmarkStart w:id="18" w:name="_GoBack"/>
      <w:bookmarkEnd w:id="18"/>
    </w:p>
    <w:sectPr w:rsidR="001945CF" w:rsidRPr="001945CF" w:rsidSect="001945CF">
      <w:headerReference w:type="default" r:id="rId148"/>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AE5275" w16cex:dateUtc="2022-02-09T22:47:00Z"/>
  <w16cex:commentExtensible w16cex:durableId="25ACD19D" w16cex:dateUtc="2022-02-08T19:25:00Z"/>
  <w16cex:commentExtensible w16cex:durableId="25A65962" w16cex:dateUtc="2022-02-03T21:38:00Z"/>
  <w16cex:commentExtensible w16cex:durableId="25ACD2C1" w16cex:dateUtc="2022-02-08T19:30:00Z"/>
  <w16cex:commentExtensible w16cex:durableId="25AE532F" w16cex:dateUtc="2022-02-09T22:50:00Z"/>
  <w16cex:commentExtensible w16cex:durableId="25ACD2E0" w16cex:dateUtc="2022-02-08T19:30:00Z"/>
  <w16cex:commentExtensible w16cex:durableId="25AE5359" w16cex:dateUtc="2022-02-09T22:51:00Z"/>
  <w16cex:commentExtensible w16cex:durableId="25ACD327" w16cex:dateUtc="2022-02-08T19:31:00Z"/>
  <w16cex:commentExtensible w16cex:durableId="25AE0765" w16cex:dateUtc="2022-02-09T17:27:00Z"/>
  <w16cex:commentExtensible w16cex:durableId="25AE51B6" w16cex:dateUtc="2022-02-09T22:44:00Z"/>
  <w16cex:commentExtensible w16cex:durableId="25A6701B" w16cex:dateUtc="2022-02-03T23:15:00Z"/>
  <w16cex:commentExtensible w16cex:durableId="25AE4A59" w16cex:dateUtc="2022-02-09T22:12:00Z"/>
  <w16cex:commentExtensible w16cex:durableId="25ACD367" w16cex:dateUtc="2022-02-08T19:32:00Z"/>
  <w16cex:commentExtensible w16cex:durableId="25AE51E2" w16cex:dateUtc="2022-02-09T22:44:00Z"/>
  <w16cex:commentExtensible w16cex:durableId="48B61A87" w16cex:dateUtc="2022-02-11T17:42:59.723Z"/>
  <w16cex:commentExtensible w16cex:durableId="7A2C44DC" w16cex:dateUtc="2022-02-21T18:21:28.4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782F" w14:textId="77777777" w:rsidR="00CE15DC" w:rsidRDefault="00CE15DC" w:rsidP="000E09DC">
      <w:r>
        <w:separator/>
      </w:r>
    </w:p>
    <w:p w14:paraId="63EBA6DF" w14:textId="77777777" w:rsidR="00CE15DC" w:rsidRDefault="00CE15DC"/>
    <w:p w14:paraId="626DA655" w14:textId="77777777" w:rsidR="00CE15DC" w:rsidRDefault="00CE15DC" w:rsidP="00B1517F"/>
  </w:endnote>
  <w:endnote w:type="continuationSeparator" w:id="0">
    <w:p w14:paraId="5571579C" w14:textId="77777777" w:rsidR="00CE15DC" w:rsidRDefault="00CE15DC" w:rsidP="000E09DC">
      <w:r>
        <w:continuationSeparator/>
      </w:r>
    </w:p>
    <w:p w14:paraId="783ADE93" w14:textId="77777777" w:rsidR="00CE15DC" w:rsidRDefault="00CE15DC"/>
    <w:p w14:paraId="0579A49E" w14:textId="77777777" w:rsidR="00CE15DC" w:rsidRDefault="00CE15DC" w:rsidP="00B1517F"/>
  </w:endnote>
  <w:endnote w:type="continuationNotice" w:id="1">
    <w:p w14:paraId="542F8790" w14:textId="77777777" w:rsidR="00CE15DC" w:rsidRDefault="00CE15DC"/>
    <w:p w14:paraId="3E708930" w14:textId="77777777" w:rsidR="00CE15DC" w:rsidRDefault="00CE15DC"/>
    <w:p w14:paraId="7E4BC329" w14:textId="77777777" w:rsidR="00CE15DC" w:rsidRDefault="00CE15DC" w:rsidP="00B15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Layout w:type="fixed"/>
      <w:tblLook w:val="06A0" w:firstRow="1" w:lastRow="0" w:firstColumn="1" w:lastColumn="0" w:noHBand="1" w:noVBand="1"/>
    </w:tblPr>
    <w:tblGrid>
      <w:gridCol w:w="3120"/>
      <w:gridCol w:w="3120"/>
      <w:gridCol w:w="3120"/>
    </w:tblGrid>
    <w:tr w:rsidR="00CE15DC" w14:paraId="783D2020" w14:textId="77777777" w:rsidTr="002E0DB3">
      <w:tc>
        <w:tcPr>
          <w:tcW w:w="3120" w:type="dxa"/>
        </w:tcPr>
        <w:p w14:paraId="199AA210" w14:textId="77777777" w:rsidR="00CE15DC" w:rsidRDefault="00CE15DC" w:rsidP="587AE3B6">
          <w:pPr>
            <w:pStyle w:val="Header"/>
            <w:ind w:left="-115"/>
          </w:pPr>
        </w:p>
      </w:tc>
      <w:tc>
        <w:tcPr>
          <w:tcW w:w="3120" w:type="dxa"/>
        </w:tcPr>
        <w:p w14:paraId="5C4807BE" w14:textId="77777777" w:rsidR="00CE15DC" w:rsidRDefault="00CE15DC" w:rsidP="587AE3B6">
          <w:pPr>
            <w:pStyle w:val="Header"/>
            <w:jc w:val="center"/>
          </w:pPr>
        </w:p>
      </w:tc>
      <w:tc>
        <w:tcPr>
          <w:tcW w:w="3120" w:type="dxa"/>
        </w:tcPr>
        <w:p w14:paraId="525DEC3F" w14:textId="77777777" w:rsidR="00CE15DC" w:rsidRDefault="00CE15DC" w:rsidP="587AE3B6">
          <w:pPr>
            <w:pStyle w:val="Header"/>
            <w:ind w:right="-115"/>
            <w:jc w:val="right"/>
          </w:pPr>
        </w:p>
      </w:tc>
    </w:tr>
  </w:tbl>
  <w:p w14:paraId="5C065366" w14:textId="77777777" w:rsidR="00CE15DC" w:rsidRDefault="00CE1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FC19" w14:textId="77025CB7" w:rsidR="00CE15DC" w:rsidRDefault="00CE15DC" w:rsidP="53D2E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C1D7" w14:textId="77777777" w:rsidR="00CE15DC" w:rsidRDefault="00CE15DC" w:rsidP="00BD5D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CA64" w14:textId="77777777" w:rsidR="00CE15DC" w:rsidRDefault="00CE15DC" w:rsidP="00BD5D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DD7F" w14:textId="77777777" w:rsidR="00CE15DC" w:rsidRDefault="00CE15DC" w:rsidP="000A32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D8D8" w14:textId="77777777" w:rsidR="00CE15DC" w:rsidRDefault="00CE15DC" w:rsidP="00BD5D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B8B6" w14:textId="77777777" w:rsidR="00CE15DC" w:rsidRDefault="00CE15DC" w:rsidP="00BD5D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BE46" w14:textId="77777777" w:rsidR="00CE15DC" w:rsidRDefault="00CE15DC" w:rsidP="00BD5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8EABD" w14:textId="77777777" w:rsidR="00CE15DC" w:rsidRDefault="00CE15DC" w:rsidP="000E09DC">
      <w:r>
        <w:separator/>
      </w:r>
    </w:p>
    <w:p w14:paraId="16623F96" w14:textId="77777777" w:rsidR="00CE15DC" w:rsidRDefault="00CE15DC"/>
    <w:p w14:paraId="522E18AF" w14:textId="77777777" w:rsidR="00CE15DC" w:rsidRDefault="00CE15DC" w:rsidP="00B1517F"/>
  </w:footnote>
  <w:footnote w:type="continuationSeparator" w:id="0">
    <w:p w14:paraId="3DE39255" w14:textId="77777777" w:rsidR="00CE15DC" w:rsidRDefault="00CE15DC" w:rsidP="000E09DC">
      <w:r>
        <w:continuationSeparator/>
      </w:r>
    </w:p>
    <w:p w14:paraId="5E719554" w14:textId="77777777" w:rsidR="00CE15DC" w:rsidRDefault="00CE15DC"/>
    <w:p w14:paraId="467A982C" w14:textId="77777777" w:rsidR="00CE15DC" w:rsidRDefault="00CE15DC" w:rsidP="00B1517F"/>
  </w:footnote>
  <w:footnote w:type="continuationNotice" w:id="1">
    <w:p w14:paraId="164D8060" w14:textId="77777777" w:rsidR="00CE15DC" w:rsidRDefault="00CE15DC"/>
    <w:p w14:paraId="3642ACD5" w14:textId="77777777" w:rsidR="00CE15DC" w:rsidRDefault="00CE15DC"/>
    <w:p w14:paraId="36ED2592" w14:textId="77777777" w:rsidR="00CE15DC" w:rsidRDefault="00CE15DC" w:rsidP="00B15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8557" w14:textId="77777777" w:rsidR="00CE15DC" w:rsidRDefault="00CE15DC" w:rsidP="00BD5D61">
    <w:pPr>
      <w:pStyle w:val="Header"/>
      <w:jc w:val="right"/>
    </w:pPr>
    <w:r>
      <w:fldChar w:fldCharType="begin"/>
    </w:r>
    <w:r>
      <w:instrText>PAGE</w:instrText>
    </w:r>
    <w:r>
      <w:fldChar w:fldCharType="end"/>
    </w:r>
    <w:r>
      <w:t xml:space="preserve"> of </w:t>
    </w:r>
    <w:r>
      <w:fldChar w:fldCharType="begin"/>
    </w:r>
    <w:r>
      <w:instrText>NUMPAGES</w:instrText>
    </w:r>
    <w:r>
      <w:fldChar w:fldCharType="end"/>
    </w:r>
  </w:p>
  <w:p w14:paraId="6AD2083C" w14:textId="77777777" w:rsidR="00CE15DC" w:rsidRPr="000E09DC" w:rsidRDefault="00CE15DC"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1692D764" w14:textId="77777777" w:rsidR="00CE15DC" w:rsidRDefault="00CE15DC"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2</w:t>
    </w:r>
    <w:r w:rsidRPr="000E09DC">
      <w:rPr>
        <w:rFonts w:cs="Arial"/>
        <w:noProof/>
      </w:rPr>
      <w:fldChar w:fldCharType="end"/>
    </w:r>
    <w:r w:rsidRPr="000E09DC">
      <w:rPr>
        <w:rFonts w:cs="Arial"/>
      </w:rPr>
      <w:t xml:space="preserve"> of </w:t>
    </w:r>
    <w:r>
      <w:rPr>
        <w:rFonts w:cs="Arial"/>
      </w:rPr>
      <w:t>3</w:t>
    </w:r>
  </w:p>
  <w:p w14:paraId="1A5DD8E5" w14:textId="77777777" w:rsidR="00CE15DC" w:rsidRPr="00527B0E" w:rsidRDefault="00CE15DC" w:rsidP="000E09DC">
    <w:pPr>
      <w:pStyle w:val="Header"/>
      <w:jc w:val="right"/>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3E94" w14:textId="77777777" w:rsidR="00CE15DC" w:rsidRDefault="00CE15DC" w:rsidP="00644C63">
    <w:pPr>
      <w:spacing w:after="480"/>
      <w:contextualSpacing/>
      <w:jc w:val="right"/>
      <w:rPr>
        <w:rFonts w:cs="Arial"/>
        <w:color w:val="000000" w:themeColor="text1"/>
      </w:rPr>
    </w:pPr>
    <w:r w:rsidRPr="169FA7CE">
      <w:rPr>
        <w:rFonts w:cs="Arial"/>
        <w:color w:val="000000" w:themeColor="text1"/>
      </w:rPr>
      <w:t>i</w:t>
    </w:r>
    <w:r>
      <w:rPr>
        <w:rFonts w:cs="Arial"/>
        <w:color w:val="000000" w:themeColor="text1"/>
      </w:rPr>
      <w:t>t</w:t>
    </w:r>
    <w:r w:rsidRPr="169FA7CE">
      <w:rPr>
        <w:rFonts w:cs="Arial"/>
        <w:color w:val="000000" w:themeColor="text1"/>
      </w:rPr>
      <w:t>b-amard-ma</w:t>
    </w:r>
    <w:r>
      <w:rPr>
        <w:rFonts w:cs="Arial"/>
        <w:color w:val="000000" w:themeColor="text1"/>
      </w:rPr>
      <w:t>r</w:t>
    </w:r>
    <w:r w:rsidRPr="169FA7CE">
      <w:rPr>
        <w:rFonts w:cs="Arial"/>
        <w:color w:val="000000" w:themeColor="text1"/>
      </w:rPr>
      <w:t>2</w:t>
    </w:r>
    <w:r>
      <w:rPr>
        <w:rFonts w:cs="Arial"/>
        <w:color w:val="000000" w:themeColor="text1"/>
      </w:rPr>
      <w:t>2</w:t>
    </w:r>
    <w:r w:rsidRPr="169FA7CE">
      <w:rPr>
        <w:rFonts w:cs="Arial"/>
        <w:color w:val="000000" w:themeColor="text1"/>
      </w:rPr>
      <w:t>item01</w:t>
    </w:r>
  </w:p>
  <w:p w14:paraId="5C7F745A" w14:textId="77777777" w:rsidR="00CE15DC" w:rsidRDefault="00CE15DC" w:rsidP="00644C63">
    <w:pPr>
      <w:spacing w:after="480"/>
      <w:contextualSpacing/>
      <w:jc w:val="right"/>
      <w:rPr>
        <w:rFonts w:cs="Arial"/>
      </w:rPr>
    </w:pPr>
    <w:r>
      <w:rPr>
        <w:rFonts w:cs="Arial"/>
      </w:rPr>
      <w:t>Attachment 3</w:t>
    </w:r>
  </w:p>
  <w:p w14:paraId="209F9091" w14:textId="76F08B4C" w:rsidR="00CE15DC" w:rsidRDefault="00CE15DC" w:rsidP="00644C63">
    <w:pPr>
      <w:spacing w:after="480"/>
      <w:contextualSpacing/>
      <w:jc w:val="right"/>
    </w:pPr>
    <w:r w:rsidRPr="00C869E7">
      <w:rPr>
        <w:rFonts w:cs="Arial"/>
      </w:rPr>
      <w:t xml:space="preserve">Page </w:t>
    </w:r>
    <w:r w:rsidRPr="00C869E7">
      <w:rPr>
        <w:rFonts w:cs="Arial"/>
      </w:rPr>
      <w:fldChar w:fldCharType="begin"/>
    </w:r>
    <w:r w:rsidRPr="00C869E7">
      <w:rPr>
        <w:rFonts w:cs="Arial"/>
      </w:rPr>
      <w:instrText>PAGE</w:instrText>
    </w:r>
    <w:r w:rsidRPr="00C869E7">
      <w:rPr>
        <w:rFonts w:cs="Arial"/>
      </w:rPr>
      <w:fldChar w:fldCharType="separate"/>
    </w:r>
    <w:r>
      <w:rPr>
        <w:rFonts w:cs="Arial"/>
        <w:noProof/>
      </w:rPr>
      <w:t>8</w:t>
    </w:r>
    <w:r w:rsidRPr="00C869E7">
      <w:rPr>
        <w:rFonts w:cs="Arial"/>
      </w:rPr>
      <w:fldChar w:fldCharType="end"/>
    </w:r>
    <w:r w:rsidRPr="00C869E7">
      <w:rPr>
        <w:rFonts w:cs="Arial"/>
      </w:rPr>
      <w:t xml:space="preserve"> of</w:t>
    </w:r>
    <w:r>
      <w:rPr>
        <w:rFonts w:cs="Arial"/>
      </w:rPr>
      <w:t xml:space="preserv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FE91" w14:textId="77777777" w:rsidR="00CE15DC" w:rsidRDefault="00CE15DC" w:rsidP="169FA7CE">
    <w:pPr>
      <w:jc w:val="right"/>
      <w:rPr>
        <w:rFonts w:cs="Arial"/>
        <w:color w:val="000000" w:themeColor="text1"/>
      </w:rPr>
    </w:pPr>
    <w:r w:rsidRPr="169FA7CE">
      <w:rPr>
        <w:rFonts w:cs="Arial"/>
        <w:color w:val="000000" w:themeColor="text1"/>
      </w:rPr>
      <w:t>i</w:t>
    </w:r>
    <w:r>
      <w:rPr>
        <w:rFonts w:cs="Arial"/>
        <w:color w:val="000000" w:themeColor="text1"/>
      </w:rPr>
      <w:t>t</w:t>
    </w:r>
    <w:r w:rsidRPr="169FA7CE">
      <w:rPr>
        <w:rFonts w:cs="Arial"/>
        <w:color w:val="000000" w:themeColor="text1"/>
      </w:rPr>
      <w:t>b-amard-ma</w:t>
    </w:r>
    <w:r>
      <w:rPr>
        <w:rFonts w:cs="Arial"/>
        <w:color w:val="000000" w:themeColor="text1"/>
      </w:rPr>
      <w:t>r</w:t>
    </w:r>
    <w:r w:rsidRPr="169FA7CE">
      <w:rPr>
        <w:rFonts w:cs="Arial"/>
        <w:color w:val="000000" w:themeColor="text1"/>
      </w:rPr>
      <w:t>2</w:t>
    </w:r>
    <w:r>
      <w:rPr>
        <w:rFonts w:cs="Arial"/>
        <w:color w:val="000000" w:themeColor="text1"/>
      </w:rPr>
      <w:t>2</w:t>
    </w:r>
    <w:r w:rsidRPr="169FA7CE">
      <w:rPr>
        <w:rFonts w:cs="Arial"/>
        <w:color w:val="000000" w:themeColor="text1"/>
      </w:rPr>
      <w:t>item01</w:t>
    </w:r>
  </w:p>
  <w:p w14:paraId="358A07D9" w14:textId="2ABB2ADB" w:rsidR="00CE15DC" w:rsidRDefault="00CE15DC" w:rsidP="00C411FA">
    <w:pPr>
      <w:jc w:val="right"/>
      <w:rPr>
        <w:rFonts w:cs="Arial"/>
      </w:rPr>
    </w:pPr>
    <w:r>
      <w:rPr>
        <w:rFonts w:cs="Arial"/>
      </w:rPr>
      <w:t>Attachment 4</w:t>
    </w:r>
  </w:p>
  <w:p w14:paraId="0B5BDD63" w14:textId="4DD84F9B" w:rsidR="00CE15DC" w:rsidRDefault="00CE15DC" w:rsidP="001945CF">
    <w:pPr>
      <w:spacing w:after="480"/>
      <w:jc w:val="right"/>
    </w:pPr>
    <w:r w:rsidRPr="00C869E7">
      <w:rPr>
        <w:rFonts w:cs="Arial"/>
      </w:rPr>
      <w:t xml:space="preserve">Page </w:t>
    </w:r>
    <w:r w:rsidRPr="00C869E7">
      <w:rPr>
        <w:rFonts w:cs="Arial"/>
      </w:rPr>
      <w:fldChar w:fldCharType="begin"/>
    </w:r>
    <w:r w:rsidRPr="00C869E7">
      <w:rPr>
        <w:rFonts w:cs="Arial"/>
      </w:rPr>
      <w:instrText>PAGE</w:instrText>
    </w:r>
    <w:r w:rsidRPr="00C869E7">
      <w:rPr>
        <w:rFonts w:cs="Arial"/>
      </w:rPr>
      <w:fldChar w:fldCharType="separate"/>
    </w:r>
    <w:r>
      <w:rPr>
        <w:rFonts w:cs="Arial"/>
        <w:noProof/>
      </w:rPr>
      <w:t>8</w:t>
    </w:r>
    <w:r w:rsidRPr="00C869E7">
      <w:rPr>
        <w:rFonts w:cs="Arial"/>
      </w:rPr>
      <w:fldChar w:fldCharType="end"/>
    </w:r>
    <w:r w:rsidRPr="00C869E7">
      <w:rPr>
        <w:rFonts w:cs="Arial"/>
      </w:rPr>
      <w:t xml:space="preserve"> of</w:t>
    </w:r>
    <w:r>
      <w:rPr>
        <w:rFonts w:cs="Arial"/>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5E2D" w14:textId="689ED1EA" w:rsidR="00CE15DC" w:rsidRDefault="00CE15DC" w:rsidP="53D2E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EB0C3" w14:textId="77777777" w:rsidR="00CE15DC" w:rsidRDefault="00CE15DC" w:rsidP="00BD5D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56F4" w14:textId="48AAD8AF" w:rsidR="00CE15DC" w:rsidRPr="00006EC2" w:rsidRDefault="00CE15DC" w:rsidP="00E57290">
    <w:pPr>
      <w:pStyle w:val="Header"/>
      <w:jc w:val="right"/>
      <w:rPr>
        <w:rFonts w:cs="Arial"/>
      </w:rPr>
    </w:pPr>
    <w:r w:rsidRPr="00E57290">
      <w:rPr>
        <w:rFonts w:cs="Arial"/>
      </w:rPr>
      <w:t>i</w:t>
    </w:r>
    <w:r>
      <w:rPr>
        <w:rFonts w:cs="Arial"/>
      </w:rPr>
      <w:t>t</w:t>
    </w:r>
    <w:r w:rsidRPr="00E57290">
      <w:rPr>
        <w:rFonts w:cs="Arial"/>
      </w:rPr>
      <w:t>b-amard-m</w:t>
    </w:r>
    <w:r>
      <w:rPr>
        <w:rFonts w:cs="Arial"/>
      </w:rPr>
      <w:t>ar</w:t>
    </w:r>
    <w:r w:rsidRPr="00E57290">
      <w:rPr>
        <w:rFonts w:cs="Arial"/>
      </w:rPr>
      <w:t>2</w:t>
    </w:r>
    <w:r>
      <w:rPr>
        <w:rFonts w:cs="Arial"/>
      </w:rPr>
      <w:t>2</w:t>
    </w:r>
    <w:r w:rsidRPr="00E57290">
      <w:rPr>
        <w:rFonts w:cs="Arial"/>
      </w:rPr>
      <w:t>item01</w:t>
    </w:r>
  </w:p>
  <w:sdt>
    <w:sdtPr>
      <w:rPr>
        <w:rFonts w:cs="Arial"/>
      </w:rPr>
      <w:id w:val="-1318336367"/>
      <w:docPartObj>
        <w:docPartGallery w:val="Page Numbers (Top of Page)"/>
        <w:docPartUnique/>
      </w:docPartObj>
    </w:sdtPr>
    <w:sdtEndPr/>
    <w:sdtContent>
      <w:p w14:paraId="593FA0E9" w14:textId="4BED28F1" w:rsidR="00CE15DC" w:rsidRPr="00006EC2" w:rsidRDefault="00CE15DC" w:rsidP="00006EC2">
        <w:pPr>
          <w:pStyle w:val="Header"/>
          <w:spacing w:after="240"/>
          <w:jc w:val="right"/>
          <w:rPr>
            <w:rFonts w:cs="Arial"/>
          </w:rPr>
        </w:pPr>
        <w:r w:rsidRPr="00006EC2">
          <w:rPr>
            <w:rFonts w:cs="Arial"/>
          </w:rPr>
          <w:t xml:space="preserve">Page </w:t>
        </w:r>
        <w:r w:rsidRPr="00006EC2">
          <w:rPr>
            <w:rFonts w:cs="Arial"/>
          </w:rPr>
          <w:fldChar w:fldCharType="begin"/>
        </w:r>
        <w:r w:rsidRPr="00006EC2">
          <w:rPr>
            <w:rFonts w:cs="Arial"/>
          </w:rPr>
          <w:instrText xml:space="preserve"> PAGE </w:instrText>
        </w:r>
        <w:r w:rsidRPr="00006EC2">
          <w:rPr>
            <w:rFonts w:cs="Arial"/>
          </w:rPr>
          <w:fldChar w:fldCharType="separate"/>
        </w:r>
        <w:r>
          <w:rPr>
            <w:rFonts w:cs="Arial"/>
            <w:noProof/>
          </w:rPr>
          <w:t>3</w:t>
        </w:r>
        <w:r w:rsidRPr="00006EC2">
          <w:rPr>
            <w:rFonts w:cs="Arial"/>
          </w:rPr>
          <w:fldChar w:fldCharType="end"/>
        </w:r>
        <w:r w:rsidRPr="00006EC2">
          <w:rPr>
            <w:rFonts w:cs="Arial"/>
          </w:rPr>
          <w:t xml:space="preserve"> of </w:t>
        </w:r>
        <w:r>
          <w:rPr>
            <w:rFonts w:cs="Arial"/>
          </w:rPr>
          <w:t>19</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5FD9" w14:textId="77777777" w:rsidR="00CE15DC" w:rsidRDefault="00CE15DC" w:rsidP="00BD5D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2446" w14:textId="25A73C24" w:rsidR="00CE15DC" w:rsidRPr="005F7FEB" w:rsidRDefault="00CE15DC" w:rsidP="001B27D1">
    <w:pPr>
      <w:pStyle w:val="Header"/>
      <w:jc w:val="right"/>
      <w:rPr>
        <w:rFonts w:cs="Arial"/>
      </w:rPr>
    </w:pPr>
    <w:r>
      <w:rPr>
        <w:rFonts w:cs="Arial"/>
      </w:rPr>
      <w:t>itb</w:t>
    </w:r>
    <w:r w:rsidRPr="005F7FEB">
      <w:rPr>
        <w:rFonts w:cs="Arial"/>
      </w:rPr>
      <w:t>-amard-m</w:t>
    </w:r>
    <w:r>
      <w:rPr>
        <w:rFonts w:cs="Arial"/>
      </w:rPr>
      <w:t>ar</w:t>
    </w:r>
    <w:r w:rsidRPr="005F7FEB">
      <w:rPr>
        <w:rFonts w:cs="Arial"/>
      </w:rPr>
      <w:t>2</w:t>
    </w:r>
    <w:r>
      <w:rPr>
        <w:rFonts w:cs="Arial"/>
      </w:rPr>
      <w:t>2</w:t>
    </w:r>
    <w:r w:rsidRPr="005F7FEB">
      <w:rPr>
        <w:rFonts w:cs="Arial"/>
      </w:rPr>
      <w:t>item01</w:t>
    </w:r>
  </w:p>
  <w:p w14:paraId="20253FF6" w14:textId="77777777" w:rsidR="00CE15DC" w:rsidRPr="00006EC2" w:rsidRDefault="00CE15DC" w:rsidP="00E57290">
    <w:pPr>
      <w:pStyle w:val="Header"/>
      <w:jc w:val="right"/>
      <w:rPr>
        <w:rFonts w:cs="Arial"/>
      </w:rPr>
    </w:pPr>
    <w:r>
      <w:rPr>
        <w:rFonts w:cs="Arial"/>
      </w:rPr>
      <w:t>Attachment 1</w:t>
    </w:r>
  </w:p>
  <w:sdt>
    <w:sdtPr>
      <w:id w:val="551822237"/>
      <w:docPartObj>
        <w:docPartGallery w:val="Page Numbers (Top of Page)"/>
        <w:docPartUnique/>
      </w:docPartObj>
    </w:sdtPr>
    <w:sdtEndPr>
      <w:rPr>
        <w:rFonts w:cs="Arial"/>
      </w:rPr>
    </w:sdtEndPr>
    <w:sdtContent>
      <w:p w14:paraId="5013927D" w14:textId="2E669805" w:rsidR="00CE15DC" w:rsidRPr="00006EC2" w:rsidRDefault="00CE15DC" w:rsidP="0062121E">
        <w:pPr>
          <w:pStyle w:val="Header"/>
          <w:spacing w:after="480"/>
          <w:jc w:val="right"/>
          <w:rPr>
            <w:rFonts w:cs="Arial"/>
          </w:rPr>
        </w:pPr>
        <w:r w:rsidRPr="00006EC2">
          <w:rPr>
            <w:rFonts w:cs="Arial"/>
          </w:rPr>
          <w:t xml:space="preserve">Page </w:t>
        </w:r>
        <w:r w:rsidRPr="00006EC2">
          <w:rPr>
            <w:rFonts w:cs="Arial"/>
          </w:rPr>
          <w:fldChar w:fldCharType="begin"/>
        </w:r>
        <w:r w:rsidRPr="00006EC2">
          <w:rPr>
            <w:rFonts w:cs="Arial"/>
          </w:rPr>
          <w:instrText xml:space="preserve"> PAGE </w:instrText>
        </w:r>
        <w:r w:rsidRPr="00006EC2">
          <w:rPr>
            <w:rFonts w:cs="Arial"/>
          </w:rPr>
          <w:fldChar w:fldCharType="separate"/>
        </w:r>
        <w:r>
          <w:rPr>
            <w:rFonts w:cs="Arial"/>
            <w:noProof/>
          </w:rPr>
          <w:t>3</w:t>
        </w:r>
        <w:r w:rsidRPr="00006EC2">
          <w:rPr>
            <w:rFonts w:cs="Arial"/>
          </w:rPr>
          <w:fldChar w:fldCharType="end"/>
        </w:r>
        <w:r w:rsidRPr="00006EC2">
          <w:rPr>
            <w:rFonts w:cs="Arial"/>
          </w:rPr>
          <w:t xml:space="preserve"> of </w:t>
        </w:r>
        <w:r>
          <w:rPr>
            <w:rFonts w:cs="Arial"/>
          </w:rPr>
          <w:t>15</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61BF" w14:textId="77777777" w:rsidR="00CE15DC" w:rsidRDefault="00CE15DC" w:rsidP="00BD5D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FE6E" w14:textId="0AAC868E" w:rsidR="00CE15DC" w:rsidRDefault="00CE15DC" w:rsidP="169FA7CE">
    <w:pPr>
      <w:jc w:val="right"/>
      <w:rPr>
        <w:rFonts w:cs="Arial"/>
        <w:color w:val="000000" w:themeColor="text1"/>
      </w:rPr>
    </w:pPr>
    <w:r w:rsidRPr="169FA7CE">
      <w:rPr>
        <w:rFonts w:cs="Arial"/>
        <w:color w:val="000000" w:themeColor="text1"/>
      </w:rPr>
      <w:t>i</w:t>
    </w:r>
    <w:r>
      <w:rPr>
        <w:rFonts w:cs="Arial"/>
        <w:color w:val="000000" w:themeColor="text1"/>
      </w:rPr>
      <w:t>t</w:t>
    </w:r>
    <w:r w:rsidRPr="169FA7CE">
      <w:rPr>
        <w:rFonts w:cs="Arial"/>
        <w:color w:val="000000" w:themeColor="text1"/>
      </w:rPr>
      <w:t>b-amard-ma</w:t>
    </w:r>
    <w:r>
      <w:rPr>
        <w:rFonts w:cs="Arial"/>
        <w:color w:val="000000" w:themeColor="text1"/>
      </w:rPr>
      <w:t>r</w:t>
    </w:r>
    <w:r w:rsidRPr="169FA7CE">
      <w:rPr>
        <w:rFonts w:cs="Arial"/>
        <w:color w:val="000000" w:themeColor="text1"/>
      </w:rPr>
      <w:t>2</w:t>
    </w:r>
    <w:r>
      <w:rPr>
        <w:rFonts w:cs="Arial"/>
        <w:color w:val="000000" w:themeColor="text1"/>
      </w:rPr>
      <w:t>2</w:t>
    </w:r>
    <w:r w:rsidRPr="169FA7CE">
      <w:rPr>
        <w:rFonts w:cs="Arial"/>
        <w:color w:val="000000" w:themeColor="text1"/>
      </w:rPr>
      <w:t>item01</w:t>
    </w:r>
  </w:p>
  <w:p w14:paraId="6BE18A31" w14:textId="5A6DBEA1" w:rsidR="00CE15DC" w:rsidRDefault="00CE15DC" w:rsidP="00C411FA">
    <w:pPr>
      <w:jc w:val="right"/>
      <w:rPr>
        <w:rFonts w:cs="Arial"/>
      </w:rPr>
    </w:pPr>
    <w:r>
      <w:rPr>
        <w:rFonts w:cs="Arial"/>
      </w:rPr>
      <w:t>Attachment 3</w:t>
    </w:r>
  </w:p>
  <w:p w14:paraId="20A9D53B" w14:textId="107020D7" w:rsidR="00CE15DC" w:rsidRDefault="00CE15DC" w:rsidP="002C26FE">
    <w:pPr>
      <w:spacing w:after="240"/>
      <w:jc w:val="right"/>
    </w:pPr>
    <w:r w:rsidRPr="00C869E7">
      <w:rPr>
        <w:rFonts w:cs="Arial"/>
      </w:rPr>
      <w:t xml:space="preserve">Page </w:t>
    </w:r>
    <w:r w:rsidRPr="00C869E7">
      <w:rPr>
        <w:rFonts w:cs="Arial"/>
      </w:rPr>
      <w:fldChar w:fldCharType="begin"/>
    </w:r>
    <w:r w:rsidRPr="00C869E7">
      <w:rPr>
        <w:rFonts w:cs="Arial"/>
      </w:rPr>
      <w:instrText>PAGE</w:instrText>
    </w:r>
    <w:r w:rsidRPr="00C869E7">
      <w:rPr>
        <w:rFonts w:cs="Arial"/>
      </w:rPr>
      <w:fldChar w:fldCharType="separate"/>
    </w:r>
    <w:r>
      <w:rPr>
        <w:rFonts w:cs="Arial"/>
        <w:noProof/>
      </w:rPr>
      <w:t>8</w:t>
    </w:r>
    <w:r w:rsidRPr="00C869E7">
      <w:rPr>
        <w:rFonts w:cs="Arial"/>
      </w:rPr>
      <w:fldChar w:fldCharType="end"/>
    </w:r>
    <w:r w:rsidRPr="00C869E7">
      <w:rPr>
        <w:rFonts w:cs="Arial"/>
      </w:rPr>
      <w:t xml:space="preserve"> of</w:t>
    </w:r>
    <w:r>
      <w:rPr>
        <w:rFonts w:cs="Arial"/>
      </w:rPr>
      <w:t xml:space="preserve"> 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A2FA" w14:textId="77777777" w:rsidR="00CE15DC" w:rsidRDefault="00CE15DC" w:rsidP="00BD5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F6F"/>
    <w:multiLevelType w:val="hybridMultilevel"/>
    <w:tmpl w:val="F6F6BC32"/>
    <w:lvl w:ilvl="0" w:tplc="42E266F0">
      <w:start w:val="1"/>
      <w:numFmt w:val="bullet"/>
      <w:lvlText w:val="•"/>
      <w:lvlJc w:val="left"/>
      <w:pPr>
        <w:tabs>
          <w:tab w:val="num" w:pos="720"/>
        </w:tabs>
        <w:ind w:left="720" w:hanging="360"/>
      </w:pPr>
      <w:rPr>
        <w:rFonts w:ascii="Arial" w:hAnsi="Arial" w:hint="default"/>
      </w:rPr>
    </w:lvl>
    <w:lvl w:ilvl="1" w:tplc="65D63FE0">
      <w:start w:val="148"/>
      <w:numFmt w:val="bullet"/>
      <w:lvlText w:val="◦"/>
      <w:lvlJc w:val="left"/>
      <w:pPr>
        <w:tabs>
          <w:tab w:val="num" w:pos="1440"/>
        </w:tabs>
        <w:ind w:left="1440" w:hanging="360"/>
      </w:pPr>
      <w:rPr>
        <w:rFonts w:ascii="Arial" w:hAnsi="Arial" w:hint="default"/>
      </w:rPr>
    </w:lvl>
    <w:lvl w:ilvl="2" w:tplc="D0689FC8" w:tentative="1">
      <w:start w:val="1"/>
      <w:numFmt w:val="bullet"/>
      <w:lvlText w:val="•"/>
      <w:lvlJc w:val="left"/>
      <w:pPr>
        <w:tabs>
          <w:tab w:val="num" w:pos="2160"/>
        </w:tabs>
        <w:ind w:left="2160" w:hanging="360"/>
      </w:pPr>
      <w:rPr>
        <w:rFonts w:ascii="Arial" w:hAnsi="Arial" w:hint="default"/>
      </w:rPr>
    </w:lvl>
    <w:lvl w:ilvl="3" w:tplc="5B7AEC1C" w:tentative="1">
      <w:start w:val="1"/>
      <w:numFmt w:val="bullet"/>
      <w:lvlText w:val="•"/>
      <w:lvlJc w:val="left"/>
      <w:pPr>
        <w:tabs>
          <w:tab w:val="num" w:pos="2880"/>
        </w:tabs>
        <w:ind w:left="2880" w:hanging="360"/>
      </w:pPr>
      <w:rPr>
        <w:rFonts w:ascii="Arial" w:hAnsi="Arial" w:hint="default"/>
      </w:rPr>
    </w:lvl>
    <w:lvl w:ilvl="4" w:tplc="75E8CEDC" w:tentative="1">
      <w:start w:val="1"/>
      <w:numFmt w:val="bullet"/>
      <w:lvlText w:val="•"/>
      <w:lvlJc w:val="left"/>
      <w:pPr>
        <w:tabs>
          <w:tab w:val="num" w:pos="3600"/>
        </w:tabs>
        <w:ind w:left="3600" w:hanging="360"/>
      </w:pPr>
      <w:rPr>
        <w:rFonts w:ascii="Arial" w:hAnsi="Arial" w:hint="default"/>
      </w:rPr>
    </w:lvl>
    <w:lvl w:ilvl="5" w:tplc="6888B344" w:tentative="1">
      <w:start w:val="1"/>
      <w:numFmt w:val="bullet"/>
      <w:lvlText w:val="•"/>
      <w:lvlJc w:val="left"/>
      <w:pPr>
        <w:tabs>
          <w:tab w:val="num" w:pos="4320"/>
        </w:tabs>
        <w:ind w:left="4320" w:hanging="360"/>
      </w:pPr>
      <w:rPr>
        <w:rFonts w:ascii="Arial" w:hAnsi="Arial" w:hint="default"/>
      </w:rPr>
    </w:lvl>
    <w:lvl w:ilvl="6" w:tplc="DB086BD6" w:tentative="1">
      <w:start w:val="1"/>
      <w:numFmt w:val="bullet"/>
      <w:lvlText w:val="•"/>
      <w:lvlJc w:val="left"/>
      <w:pPr>
        <w:tabs>
          <w:tab w:val="num" w:pos="5040"/>
        </w:tabs>
        <w:ind w:left="5040" w:hanging="360"/>
      </w:pPr>
      <w:rPr>
        <w:rFonts w:ascii="Arial" w:hAnsi="Arial" w:hint="default"/>
      </w:rPr>
    </w:lvl>
    <w:lvl w:ilvl="7" w:tplc="8618E572" w:tentative="1">
      <w:start w:val="1"/>
      <w:numFmt w:val="bullet"/>
      <w:lvlText w:val="•"/>
      <w:lvlJc w:val="left"/>
      <w:pPr>
        <w:tabs>
          <w:tab w:val="num" w:pos="5760"/>
        </w:tabs>
        <w:ind w:left="5760" w:hanging="360"/>
      </w:pPr>
      <w:rPr>
        <w:rFonts w:ascii="Arial" w:hAnsi="Arial" w:hint="default"/>
      </w:rPr>
    </w:lvl>
    <w:lvl w:ilvl="8" w:tplc="C36C91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DB052B"/>
    <w:multiLevelType w:val="hybridMultilevel"/>
    <w:tmpl w:val="0488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378CD"/>
    <w:multiLevelType w:val="hybridMultilevel"/>
    <w:tmpl w:val="680AB998"/>
    <w:lvl w:ilvl="0" w:tplc="76EA7156">
      <w:start w:val="1"/>
      <w:numFmt w:val="bullet"/>
      <w:lvlText w:val="•"/>
      <w:lvlJc w:val="left"/>
      <w:pPr>
        <w:tabs>
          <w:tab w:val="num" w:pos="720"/>
        </w:tabs>
        <w:ind w:left="720" w:hanging="360"/>
      </w:pPr>
      <w:rPr>
        <w:rFonts w:ascii="Arial" w:hAnsi="Arial" w:hint="default"/>
      </w:rPr>
    </w:lvl>
    <w:lvl w:ilvl="1" w:tplc="62804944" w:tentative="1">
      <w:start w:val="1"/>
      <w:numFmt w:val="bullet"/>
      <w:lvlText w:val="•"/>
      <w:lvlJc w:val="left"/>
      <w:pPr>
        <w:tabs>
          <w:tab w:val="num" w:pos="1440"/>
        </w:tabs>
        <w:ind w:left="1440" w:hanging="360"/>
      </w:pPr>
      <w:rPr>
        <w:rFonts w:ascii="Arial" w:hAnsi="Arial" w:hint="default"/>
      </w:rPr>
    </w:lvl>
    <w:lvl w:ilvl="2" w:tplc="1D3CC972" w:tentative="1">
      <w:start w:val="1"/>
      <w:numFmt w:val="bullet"/>
      <w:lvlText w:val="•"/>
      <w:lvlJc w:val="left"/>
      <w:pPr>
        <w:tabs>
          <w:tab w:val="num" w:pos="2160"/>
        </w:tabs>
        <w:ind w:left="2160" w:hanging="360"/>
      </w:pPr>
      <w:rPr>
        <w:rFonts w:ascii="Arial" w:hAnsi="Arial" w:hint="default"/>
      </w:rPr>
    </w:lvl>
    <w:lvl w:ilvl="3" w:tplc="C9F69986" w:tentative="1">
      <w:start w:val="1"/>
      <w:numFmt w:val="bullet"/>
      <w:lvlText w:val="•"/>
      <w:lvlJc w:val="left"/>
      <w:pPr>
        <w:tabs>
          <w:tab w:val="num" w:pos="2880"/>
        </w:tabs>
        <w:ind w:left="2880" w:hanging="360"/>
      </w:pPr>
      <w:rPr>
        <w:rFonts w:ascii="Arial" w:hAnsi="Arial" w:hint="default"/>
      </w:rPr>
    </w:lvl>
    <w:lvl w:ilvl="4" w:tplc="51E40D8C" w:tentative="1">
      <w:start w:val="1"/>
      <w:numFmt w:val="bullet"/>
      <w:lvlText w:val="•"/>
      <w:lvlJc w:val="left"/>
      <w:pPr>
        <w:tabs>
          <w:tab w:val="num" w:pos="3600"/>
        </w:tabs>
        <w:ind w:left="3600" w:hanging="360"/>
      </w:pPr>
      <w:rPr>
        <w:rFonts w:ascii="Arial" w:hAnsi="Arial" w:hint="default"/>
      </w:rPr>
    </w:lvl>
    <w:lvl w:ilvl="5" w:tplc="0A1E7296" w:tentative="1">
      <w:start w:val="1"/>
      <w:numFmt w:val="bullet"/>
      <w:lvlText w:val="•"/>
      <w:lvlJc w:val="left"/>
      <w:pPr>
        <w:tabs>
          <w:tab w:val="num" w:pos="4320"/>
        </w:tabs>
        <w:ind w:left="4320" w:hanging="360"/>
      </w:pPr>
      <w:rPr>
        <w:rFonts w:ascii="Arial" w:hAnsi="Arial" w:hint="default"/>
      </w:rPr>
    </w:lvl>
    <w:lvl w:ilvl="6" w:tplc="4E080922" w:tentative="1">
      <w:start w:val="1"/>
      <w:numFmt w:val="bullet"/>
      <w:lvlText w:val="•"/>
      <w:lvlJc w:val="left"/>
      <w:pPr>
        <w:tabs>
          <w:tab w:val="num" w:pos="5040"/>
        </w:tabs>
        <w:ind w:left="5040" w:hanging="360"/>
      </w:pPr>
      <w:rPr>
        <w:rFonts w:ascii="Arial" w:hAnsi="Arial" w:hint="default"/>
      </w:rPr>
    </w:lvl>
    <w:lvl w:ilvl="7" w:tplc="C2CC9316" w:tentative="1">
      <w:start w:val="1"/>
      <w:numFmt w:val="bullet"/>
      <w:lvlText w:val="•"/>
      <w:lvlJc w:val="left"/>
      <w:pPr>
        <w:tabs>
          <w:tab w:val="num" w:pos="5760"/>
        </w:tabs>
        <w:ind w:left="5760" w:hanging="360"/>
      </w:pPr>
      <w:rPr>
        <w:rFonts w:ascii="Arial" w:hAnsi="Arial" w:hint="default"/>
      </w:rPr>
    </w:lvl>
    <w:lvl w:ilvl="8" w:tplc="19F402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860222"/>
    <w:multiLevelType w:val="hybridMultilevel"/>
    <w:tmpl w:val="5CA6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9408E"/>
    <w:multiLevelType w:val="hybridMultilevel"/>
    <w:tmpl w:val="B0C0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33E9E"/>
    <w:multiLevelType w:val="hybridMultilevel"/>
    <w:tmpl w:val="0B6CAE22"/>
    <w:lvl w:ilvl="0" w:tplc="DE5AE5DA">
      <w:start w:val="1"/>
      <w:numFmt w:val="bullet"/>
      <w:lvlText w:val="•"/>
      <w:lvlJc w:val="left"/>
      <w:pPr>
        <w:tabs>
          <w:tab w:val="num" w:pos="720"/>
        </w:tabs>
        <w:ind w:left="720" w:hanging="360"/>
      </w:pPr>
      <w:rPr>
        <w:rFonts w:ascii="Arial" w:hAnsi="Arial" w:hint="default"/>
      </w:rPr>
    </w:lvl>
    <w:lvl w:ilvl="1" w:tplc="61D2234C">
      <w:start w:val="148"/>
      <w:numFmt w:val="bullet"/>
      <w:lvlText w:val="◦"/>
      <w:lvlJc w:val="left"/>
      <w:pPr>
        <w:tabs>
          <w:tab w:val="num" w:pos="1440"/>
        </w:tabs>
        <w:ind w:left="1440" w:hanging="360"/>
      </w:pPr>
      <w:rPr>
        <w:rFonts w:ascii="Arial" w:hAnsi="Arial" w:hint="default"/>
      </w:rPr>
    </w:lvl>
    <w:lvl w:ilvl="2" w:tplc="86585BB6" w:tentative="1">
      <w:start w:val="1"/>
      <w:numFmt w:val="bullet"/>
      <w:lvlText w:val="•"/>
      <w:lvlJc w:val="left"/>
      <w:pPr>
        <w:tabs>
          <w:tab w:val="num" w:pos="2160"/>
        </w:tabs>
        <w:ind w:left="2160" w:hanging="360"/>
      </w:pPr>
      <w:rPr>
        <w:rFonts w:ascii="Arial" w:hAnsi="Arial" w:hint="default"/>
      </w:rPr>
    </w:lvl>
    <w:lvl w:ilvl="3" w:tplc="AB509FEE" w:tentative="1">
      <w:start w:val="1"/>
      <w:numFmt w:val="bullet"/>
      <w:lvlText w:val="•"/>
      <w:lvlJc w:val="left"/>
      <w:pPr>
        <w:tabs>
          <w:tab w:val="num" w:pos="2880"/>
        </w:tabs>
        <w:ind w:left="2880" w:hanging="360"/>
      </w:pPr>
      <w:rPr>
        <w:rFonts w:ascii="Arial" w:hAnsi="Arial" w:hint="default"/>
      </w:rPr>
    </w:lvl>
    <w:lvl w:ilvl="4" w:tplc="1E48100E" w:tentative="1">
      <w:start w:val="1"/>
      <w:numFmt w:val="bullet"/>
      <w:lvlText w:val="•"/>
      <w:lvlJc w:val="left"/>
      <w:pPr>
        <w:tabs>
          <w:tab w:val="num" w:pos="3600"/>
        </w:tabs>
        <w:ind w:left="3600" w:hanging="360"/>
      </w:pPr>
      <w:rPr>
        <w:rFonts w:ascii="Arial" w:hAnsi="Arial" w:hint="default"/>
      </w:rPr>
    </w:lvl>
    <w:lvl w:ilvl="5" w:tplc="4E3A61F8" w:tentative="1">
      <w:start w:val="1"/>
      <w:numFmt w:val="bullet"/>
      <w:lvlText w:val="•"/>
      <w:lvlJc w:val="left"/>
      <w:pPr>
        <w:tabs>
          <w:tab w:val="num" w:pos="4320"/>
        </w:tabs>
        <w:ind w:left="4320" w:hanging="360"/>
      </w:pPr>
      <w:rPr>
        <w:rFonts w:ascii="Arial" w:hAnsi="Arial" w:hint="default"/>
      </w:rPr>
    </w:lvl>
    <w:lvl w:ilvl="6" w:tplc="F8A6BDAC" w:tentative="1">
      <w:start w:val="1"/>
      <w:numFmt w:val="bullet"/>
      <w:lvlText w:val="•"/>
      <w:lvlJc w:val="left"/>
      <w:pPr>
        <w:tabs>
          <w:tab w:val="num" w:pos="5040"/>
        </w:tabs>
        <w:ind w:left="5040" w:hanging="360"/>
      </w:pPr>
      <w:rPr>
        <w:rFonts w:ascii="Arial" w:hAnsi="Arial" w:hint="default"/>
      </w:rPr>
    </w:lvl>
    <w:lvl w:ilvl="7" w:tplc="068A4290" w:tentative="1">
      <w:start w:val="1"/>
      <w:numFmt w:val="bullet"/>
      <w:lvlText w:val="•"/>
      <w:lvlJc w:val="left"/>
      <w:pPr>
        <w:tabs>
          <w:tab w:val="num" w:pos="5760"/>
        </w:tabs>
        <w:ind w:left="5760" w:hanging="360"/>
      </w:pPr>
      <w:rPr>
        <w:rFonts w:ascii="Arial" w:hAnsi="Arial" w:hint="default"/>
      </w:rPr>
    </w:lvl>
    <w:lvl w:ilvl="8" w:tplc="0B4830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761738"/>
    <w:multiLevelType w:val="hybridMultilevel"/>
    <w:tmpl w:val="CE54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C1B8D"/>
    <w:multiLevelType w:val="multilevel"/>
    <w:tmpl w:val="3CE2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A6BED"/>
    <w:multiLevelType w:val="hybridMultilevel"/>
    <w:tmpl w:val="503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2643F"/>
    <w:multiLevelType w:val="hybridMultilevel"/>
    <w:tmpl w:val="F2A445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5021B56"/>
    <w:multiLevelType w:val="hybridMultilevel"/>
    <w:tmpl w:val="F3163B8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 w15:restartNumberingAfterBreak="0">
    <w:nsid w:val="49AC0AA1"/>
    <w:multiLevelType w:val="hybridMultilevel"/>
    <w:tmpl w:val="F24C0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B015BD"/>
    <w:multiLevelType w:val="hybridMultilevel"/>
    <w:tmpl w:val="42BC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47207"/>
    <w:multiLevelType w:val="hybridMultilevel"/>
    <w:tmpl w:val="69A69940"/>
    <w:lvl w:ilvl="0" w:tplc="7AB871C4">
      <w:start w:val="1"/>
      <w:numFmt w:val="bullet"/>
      <w:lvlText w:val=""/>
      <w:lvlJc w:val="left"/>
      <w:pPr>
        <w:tabs>
          <w:tab w:val="num" w:pos="720"/>
        </w:tabs>
        <w:ind w:left="720" w:hanging="360"/>
      </w:pPr>
      <w:rPr>
        <w:rFonts w:ascii="Symbol" w:hAnsi="Symbol" w:hint="default"/>
        <w:sz w:val="20"/>
      </w:rPr>
    </w:lvl>
    <w:lvl w:ilvl="1" w:tplc="F7006B94">
      <w:start w:val="1"/>
      <w:numFmt w:val="bullet"/>
      <w:lvlText w:val="o"/>
      <w:lvlJc w:val="left"/>
      <w:pPr>
        <w:tabs>
          <w:tab w:val="num" w:pos="1440"/>
        </w:tabs>
        <w:ind w:left="1440" w:hanging="360"/>
      </w:pPr>
      <w:rPr>
        <w:rFonts w:ascii="Courier New" w:hAnsi="Courier New" w:cs="Times New Roman" w:hint="default"/>
        <w:sz w:val="20"/>
      </w:rPr>
    </w:lvl>
    <w:lvl w:ilvl="2" w:tplc="A9D86C20">
      <w:start w:val="1"/>
      <w:numFmt w:val="bullet"/>
      <w:lvlText w:val=""/>
      <w:lvlJc w:val="left"/>
      <w:pPr>
        <w:tabs>
          <w:tab w:val="num" w:pos="2160"/>
        </w:tabs>
        <w:ind w:left="2160" w:hanging="360"/>
      </w:pPr>
      <w:rPr>
        <w:rFonts w:ascii="Wingdings" w:hAnsi="Wingdings" w:hint="default"/>
        <w:sz w:val="20"/>
      </w:rPr>
    </w:lvl>
    <w:lvl w:ilvl="3" w:tplc="99224FCA">
      <w:start w:val="1"/>
      <w:numFmt w:val="bullet"/>
      <w:lvlText w:val=""/>
      <w:lvlJc w:val="left"/>
      <w:pPr>
        <w:tabs>
          <w:tab w:val="num" w:pos="2880"/>
        </w:tabs>
        <w:ind w:left="2880" w:hanging="360"/>
      </w:pPr>
      <w:rPr>
        <w:rFonts w:ascii="Wingdings" w:hAnsi="Wingdings" w:hint="default"/>
        <w:sz w:val="20"/>
      </w:rPr>
    </w:lvl>
    <w:lvl w:ilvl="4" w:tplc="90B85E10">
      <w:start w:val="1"/>
      <w:numFmt w:val="bullet"/>
      <w:lvlText w:val=""/>
      <w:lvlJc w:val="left"/>
      <w:pPr>
        <w:tabs>
          <w:tab w:val="num" w:pos="3600"/>
        </w:tabs>
        <w:ind w:left="3600" w:hanging="360"/>
      </w:pPr>
      <w:rPr>
        <w:rFonts w:ascii="Wingdings" w:hAnsi="Wingdings" w:hint="default"/>
        <w:sz w:val="20"/>
      </w:rPr>
    </w:lvl>
    <w:lvl w:ilvl="5" w:tplc="E00CE34A">
      <w:start w:val="1"/>
      <w:numFmt w:val="bullet"/>
      <w:lvlText w:val=""/>
      <w:lvlJc w:val="left"/>
      <w:pPr>
        <w:tabs>
          <w:tab w:val="num" w:pos="4320"/>
        </w:tabs>
        <w:ind w:left="4320" w:hanging="360"/>
      </w:pPr>
      <w:rPr>
        <w:rFonts w:ascii="Wingdings" w:hAnsi="Wingdings" w:hint="default"/>
        <w:sz w:val="20"/>
      </w:rPr>
    </w:lvl>
    <w:lvl w:ilvl="6" w:tplc="27C65FE6">
      <w:start w:val="1"/>
      <w:numFmt w:val="bullet"/>
      <w:lvlText w:val=""/>
      <w:lvlJc w:val="left"/>
      <w:pPr>
        <w:tabs>
          <w:tab w:val="num" w:pos="5040"/>
        </w:tabs>
        <w:ind w:left="5040" w:hanging="360"/>
      </w:pPr>
      <w:rPr>
        <w:rFonts w:ascii="Wingdings" w:hAnsi="Wingdings" w:hint="default"/>
        <w:sz w:val="20"/>
      </w:rPr>
    </w:lvl>
    <w:lvl w:ilvl="7" w:tplc="85DE1D58">
      <w:start w:val="1"/>
      <w:numFmt w:val="bullet"/>
      <w:lvlText w:val=""/>
      <w:lvlJc w:val="left"/>
      <w:pPr>
        <w:tabs>
          <w:tab w:val="num" w:pos="5760"/>
        </w:tabs>
        <w:ind w:left="5760" w:hanging="360"/>
      </w:pPr>
      <w:rPr>
        <w:rFonts w:ascii="Wingdings" w:hAnsi="Wingdings" w:hint="default"/>
        <w:sz w:val="20"/>
      </w:rPr>
    </w:lvl>
    <w:lvl w:ilvl="8" w:tplc="3998D056">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B1E22"/>
    <w:multiLevelType w:val="hybridMultilevel"/>
    <w:tmpl w:val="7650673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6" w15:restartNumberingAfterBreak="0">
    <w:nsid w:val="64316B49"/>
    <w:multiLevelType w:val="hybridMultilevel"/>
    <w:tmpl w:val="8F0C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30D"/>
    <w:multiLevelType w:val="hybridMultilevel"/>
    <w:tmpl w:val="63D8C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A45364"/>
    <w:multiLevelType w:val="multilevel"/>
    <w:tmpl w:val="D07E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857C4A"/>
    <w:multiLevelType w:val="hybridMultilevel"/>
    <w:tmpl w:val="67CEA990"/>
    <w:lvl w:ilvl="0" w:tplc="A138604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62287"/>
    <w:multiLevelType w:val="hybridMultilevel"/>
    <w:tmpl w:val="EFFEA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E423B4"/>
    <w:multiLevelType w:val="hybridMultilevel"/>
    <w:tmpl w:val="2B84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B438C"/>
    <w:multiLevelType w:val="hybridMultilevel"/>
    <w:tmpl w:val="155A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19"/>
  </w:num>
  <w:num w:numId="5">
    <w:abstractNumId w:val="9"/>
  </w:num>
  <w:num w:numId="6">
    <w:abstractNumId w:val="20"/>
  </w:num>
  <w:num w:numId="7">
    <w:abstractNumId w:val="11"/>
  </w:num>
  <w:num w:numId="8">
    <w:abstractNumId w:val="18"/>
  </w:num>
  <w:num w:numId="9">
    <w:abstractNumId w:val="8"/>
  </w:num>
  <w:num w:numId="10">
    <w:abstractNumId w:val="21"/>
  </w:num>
  <w:num w:numId="11">
    <w:abstractNumId w:val="17"/>
  </w:num>
  <w:num w:numId="12">
    <w:abstractNumId w:val="6"/>
  </w:num>
  <w:num w:numId="13">
    <w:abstractNumId w:val="22"/>
  </w:num>
  <w:num w:numId="14">
    <w:abstractNumId w:val="16"/>
  </w:num>
  <w:num w:numId="15">
    <w:abstractNumId w:val="15"/>
  </w:num>
  <w:num w:numId="16">
    <w:abstractNumId w:val="1"/>
  </w:num>
  <w:num w:numId="17">
    <w:abstractNumId w:val="14"/>
  </w:num>
  <w:num w:numId="18">
    <w:abstractNumId w:val="4"/>
  </w:num>
  <w:num w:numId="19">
    <w:abstractNumId w:val="2"/>
  </w:num>
  <w:num w:numId="20">
    <w:abstractNumId w:val="5"/>
  </w:num>
  <w:num w:numId="21">
    <w:abstractNumId w:val="0"/>
  </w:num>
  <w:num w:numId="22">
    <w:abstractNumId w:val="13"/>
  </w:num>
  <w:num w:numId="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zAzNTIzMzUzMjBQ0lEKTi0uzszPAykwrAUAx+5NnCwAAAA="/>
  </w:docVars>
  <w:rsids>
    <w:rsidRoot w:val="0091117B"/>
    <w:rsid w:val="0000020E"/>
    <w:rsid w:val="00000460"/>
    <w:rsid w:val="00002B47"/>
    <w:rsid w:val="000035CA"/>
    <w:rsid w:val="000040D5"/>
    <w:rsid w:val="00004FE3"/>
    <w:rsid w:val="000055DC"/>
    <w:rsid w:val="000056DC"/>
    <w:rsid w:val="0000571E"/>
    <w:rsid w:val="00005BB6"/>
    <w:rsid w:val="00005DB1"/>
    <w:rsid w:val="00005E40"/>
    <w:rsid w:val="00006EC2"/>
    <w:rsid w:val="0001016F"/>
    <w:rsid w:val="000104FF"/>
    <w:rsid w:val="000108B4"/>
    <w:rsid w:val="0001156F"/>
    <w:rsid w:val="00011955"/>
    <w:rsid w:val="00012668"/>
    <w:rsid w:val="0001384A"/>
    <w:rsid w:val="00013A5F"/>
    <w:rsid w:val="00014846"/>
    <w:rsid w:val="00014A52"/>
    <w:rsid w:val="00014B6C"/>
    <w:rsid w:val="000159C1"/>
    <w:rsid w:val="000164B4"/>
    <w:rsid w:val="00022236"/>
    <w:rsid w:val="00023721"/>
    <w:rsid w:val="00023C0A"/>
    <w:rsid w:val="00023F1F"/>
    <w:rsid w:val="0002444B"/>
    <w:rsid w:val="00024B40"/>
    <w:rsid w:val="00024E7E"/>
    <w:rsid w:val="000250E1"/>
    <w:rsid w:val="000251DE"/>
    <w:rsid w:val="00025562"/>
    <w:rsid w:val="00026482"/>
    <w:rsid w:val="00026B60"/>
    <w:rsid w:val="0002A966"/>
    <w:rsid w:val="00031995"/>
    <w:rsid w:val="000324AD"/>
    <w:rsid w:val="000324CA"/>
    <w:rsid w:val="00032798"/>
    <w:rsid w:val="000330BB"/>
    <w:rsid w:val="00033161"/>
    <w:rsid w:val="000335E9"/>
    <w:rsid w:val="00034F63"/>
    <w:rsid w:val="000356D2"/>
    <w:rsid w:val="000365FD"/>
    <w:rsid w:val="00036735"/>
    <w:rsid w:val="00042CE8"/>
    <w:rsid w:val="00042F91"/>
    <w:rsid w:val="0004349E"/>
    <w:rsid w:val="00043708"/>
    <w:rsid w:val="00043DB2"/>
    <w:rsid w:val="000450D7"/>
    <w:rsid w:val="00045BDD"/>
    <w:rsid w:val="000463B3"/>
    <w:rsid w:val="00046716"/>
    <w:rsid w:val="00046725"/>
    <w:rsid w:val="0004721E"/>
    <w:rsid w:val="00047357"/>
    <w:rsid w:val="00047976"/>
    <w:rsid w:val="00047CD8"/>
    <w:rsid w:val="00050531"/>
    <w:rsid w:val="00050E30"/>
    <w:rsid w:val="000510F4"/>
    <w:rsid w:val="00051BE9"/>
    <w:rsid w:val="000538B7"/>
    <w:rsid w:val="00053FAB"/>
    <w:rsid w:val="0005435B"/>
    <w:rsid w:val="0005538D"/>
    <w:rsid w:val="0005577D"/>
    <w:rsid w:val="00056B12"/>
    <w:rsid w:val="00057278"/>
    <w:rsid w:val="00060728"/>
    <w:rsid w:val="000609D0"/>
    <w:rsid w:val="0006391F"/>
    <w:rsid w:val="000654DF"/>
    <w:rsid w:val="00066A29"/>
    <w:rsid w:val="00067D35"/>
    <w:rsid w:val="00067EB8"/>
    <w:rsid w:val="000711A9"/>
    <w:rsid w:val="0007157B"/>
    <w:rsid w:val="00071782"/>
    <w:rsid w:val="0007229C"/>
    <w:rsid w:val="00074962"/>
    <w:rsid w:val="00075F6C"/>
    <w:rsid w:val="00077143"/>
    <w:rsid w:val="000774D2"/>
    <w:rsid w:val="000804B7"/>
    <w:rsid w:val="0008054F"/>
    <w:rsid w:val="000808B6"/>
    <w:rsid w:val="000808D4"/>
    <w:rsid w:val="000814DC"/>
    <w:rsid w:val="00081980"/>
    <w:rsid w:val="000823CA"/>
    <w:rsid w:val="00082F93"/>
    <w:rsid w:val="000832DD"/>
    <w:rsid w:val="00083DD6"/>
    <w:rsid w:val="000840FA"/>
    <w:rsid w:val="0008511B"/>
    <w:rsid w:val="00086154"/>
    <w:rsid w:val="0008646A"/>
    <w:rsid w:val="00086D1D"/>
    <w:rsid w:val="00087E35"/>
    <w:rsid w:val="00090186"/>
    <w:rsid w:val="000901D2"/>
    <w:rsid w:val="00090501"/>
    <w:rsid w:val="0009059A"/>
    <w:rsid w:val="00090FA8"/>
    <w:rsid w:val="000930DE"/>
    <w:rsid w:val="000953D1"/>
    <w:rsid w:val="00095695"/>
    <w:rsid w:val="000969B8"/>
    <w:rsid w:val="000974CD"/>
    <w:rsid w:val="000978C3"/>
    <w:rsid w:val="00097D71"/>
    <w:rsid w:val="000A095B"/>
    <w:rsid w:val="000A119F"/>
    <w:rsid w:val="000A13DB"/>
    <w:rsid w:val="000A1C4C"/>
    <w:rsid w:val="000A25FC"/>
    <w:rsid w:val="000A324A"/>
    <w:rsid w:val="000A3C43"/>
    <w:rsid w:val="000A3E76"/>
    <w:rsid w:val="000A3FDA"/>
    <w:rsid w:val="000A4A86"/>
    <w:rsid w:val="000A5815"/>
    <w:rsid w:val="000A5E46"/>
    <w:rsid w:val="000A6A64"/>
    <w:rsid w:val="000A6AF0"/>
    <w:rsid w:val="000A7862"/>
    <w:rsid w:val="000B0656"/>
    <w:rsid w:val="000B144A"/>
    <w:rsid w:val="000B15E4"/>
    <w:rsid w:val="000B1B23"/>
    <w:rsid w:val="000B369E"/>
    <w:rsid w:val="000B3DA5"/>
    <w:rsid w:val="000B4729"/>
    <w:rsid w:val="000B4999"/>
    <w:rsid w:val="000B4B28"/>
    <w:rsid w:val="000B5C1B"/>
    <w:rsid w:val="000B5C90"/>
    <w:rsid w:val="000B6361"/>
    <w:rsid w:val="000B6624"/>
    <w:rsid w:val="000B749B"/>
    <w:rsid w:val="000C1A93"/>
    <w:rsid w:val="000C1EEC"/>
    <w:rsid w:val="000C2905"/>
    <w:rsid w:val="000C3A93"/>
    <w:rsid w:val="000C3CA8"/>
    <w:rsid w:val="000C3D1E"/>
    <w:rsid w:val="000C5D83"/>
    <w:rsid w:val="000C5F4E"/>
    <w:rsid w:val="000C61CE"/>
    <w:rsid w:val="000C67C2"/>
    <w:rsid w:val="000C73A1"/>
    <w:rsid w:val="000C73BA"/>
    <w:rsid w:val="000C7939"/>
    <w:rsid w:val="000D0282"/>
    <w:rsid w:val="000D0596"/>
    <w:rsid w:val="000D0603"/>
    <w:rsid w:val="000D0A08"/>
    <w:rsid w:val="000D1F2B"/>
    <w:rsid w:val="000D2EA6"/>
    <w:rsid w:val="000D3056"/>
    <w:rsid w:val="000D3B6C"/>
    <w:rsid w:val="000D458A"/>
    <w:rsid w:val="000D4817"/>
    <w:rsid w:val="000D5719"/>
    <w:rsid w:val="000D5BEA"/>
    <w:rsid w:val="000D6B01"/>
    <w:rsid w:val="000D7730"/>
    <w:rsid w:val="000E04F9"/>
    <w:rsid w:val="000E09DC"/>
    <w:rsid w:val="000E0CF0"/>
    <w:rsid w:val="000E15EE"/>
    <w:rsid w:val="000E1E5E"/>
    <w:rsid w:val="000E1F88"/>
    <w:rsid w:val="000E20B6"/>
    <w:rsid w:val="000E3FEB"/>
    <w:rsid w:val="000E4CEF"/>
    <w:rsid w:val="000E6637"/>
    <w:rsid w:val="000E6A1C"/>
    <w:rsid w:val="000E70D1"/>
    <w:rsid w:val="000E7F35"/>
    <w:rsid w:val="000F0444"/>
    <w:rsid w:val="000F05C2"/>
    <w:rsid w:val="000F0B28"/>
    <w:rsid w:val="000F1605"/>
    <w:rsid w:val="000F2E63"/>
    <w:rsid w:val="000F585E"/>
    <w:rsid w:val="000F6E8E"/>
    <w:rsid w:val="000F7930"/>
    <w:rsid w:val="00101694"/>
    <w:rsid w:val="00101AF7"/>
    <w:rsid w:val="00103288"/>
    <w:rsid w:val="00103A90"/>
    <w:rsid w:val="0010404B"/>
    <w:rsid w:val="00104336"/>
    <w:rsid w:val="0010457A"/>
    <w:rsid w:val="001048F3"/>
    <w:rsid w:val="0010763D"/>
    <w:rsid w:val="001076C4"/>
    <w:rsid w:val="00107E99"/>
    <w:rsid w:val="00110E13"/>
    <w:rsid w:val="00112817"/>
    <w:rsid w:val="0011314A"/>
    <w:rsid w:val="001132E2"/>
    <w:rsid w:val="0011398C"/>
    <w:rsid w:val="00113E6B"/>
    <w:rsid w:val="00113EDB"/>
    <w:rsid w:val="00115900"/>
    <w:rsid w:val="001164BA"/>
    <w:rsid w:val="00116705"/>
    <w:rsid w:val="00120006"/>
    <w:rsid w:val="00120073"/>
    <w:rsid w:val="001201BD"/>
    <w:rsid w:val="001211EB"/>
    <w:rsid w:val="00121420"/>
    <w:rsid w:val="001228D4"/>
    <w:rsid w:val="00123D41"/>
    <w:rsid w:val="001242CD"/>
    <w:rsid w:val="00124DAE"/>
    <w:rsid w:val="00124E88"/>
    <w:rsid w:val="0012586C"/>
    <w:rsid w:val="00126BCC"/>
    <w:rsid w:val="001278E7"/>
    <w:rsid w:val="00130059"/>
    <w:rsid w:val="001302CB"/>
    <w:rsid w:val="001306B1"/>
    <w:rsid w:val="0013073C"/>
    <w:rsid w:val="00130F84"/>
    <w:rsid w:val="00131BBC"/>
    <w:rsid w:val="001321E9"/>
    <w:rsid w:val="00132790"/>
    <w:rsid w:val="00133264"/>
    <w:rsid w:val="001332CB"/>
    <w:rsid w:val="00133F5C"/>
    <w:rsid w:val="001353CD"/>
    <w:rsid w:val="00136357"/>
    <w:rsid w:val="00136430"/>
    <w:rsid w:val="00137467"/>
    <w:rsid w:val="0014037D"/>
    <w:rsid w:val="00142223"/>
    <w:rsid w:val="00142D17"/>
    <w:rsid w:val="00142E3D"/>
    <w:rsid w:val="0014400E"/>
    <w:rsid w:val="001441AD"/>
    <w:rsid w:val="00144ECC"/>
    <w:rsid w:val="00145615"/>
    <w:rsid w:val="00145814"/>
    <w:rsid w:val="0014601A"/>
    <w:rsid w:val="001467A6"/>
    <w:rsid w:val="001470AF"/>
    <w:rsid w:val="00150E61"/>
    <w:rsid w:val="001510C2"/>
    <w:rsid w:val="00151AAE"/>
    <w:rsid w:val="00151C33"/>
    <w:rsid w:val="0015255E"/>
    <w:rsid w:val="00152BEC"/>
    <w:rsid w:val="00152E95"/>
    <w:rsid w:val="00153DEF"/>
    <w:rsid w:val="00154751"/>
    <w:rsid w:val="00156866"/>
    <w:rsid w:val="00160068"/>
    <w:rsid w:val="001601BB"/>
    <w:rsid w:val="00161864"/>
    <w:rsid w:val="00161A9A"/>
    <w:rsid w:val="001621E5"/>
    <w:rsid w:val="00163190"/>
    <w:rsid w:val="00163374"/>
    <w:rsid w:val="00163F23"/>
    <w:rsid w:val="00164834"/>
    <w:rsid w:val="00165049"/>
    <w:rsid w:val="0016524B"/>
    <w:rsid w:val="0016524E"/>
    <w:rsid w:val="0016568C"/>
    <w:rsid w:val="00165FDA"/>
    <w:rsid w:val="0016777C"/>
    <w:rsid w:val="00167E9C"/>
    <w:rsid w:val="00170163"/>
    <w:rsid w:val="00171301"/>
    <w:rsid w:val="0017186C"/>
    <w:rsid w:val="00171A27"/>
    <w:rsid w:val="00174CB7"/>
    <w:rsid w:val="00175316"/>
    <w:rsid w:val="0017682A"/>
    <w:rsid w:val="001769FE"/>
    <w:rsid w:val="00176CB6"/>
    <w:rsid w:val="00176EB5"/>
    <w:rsid w:val="001774F8"/>
    <w:rsid w:val="00177C8A"/>
    <w:rsid w:val="00177D5D"/>
    <w:rsid w:val="00180615"/>
    <w:rsid w:val="001810B2"/>
    <w:rsid w:val="0018148D"/>
    <w:rsid w:val="00181D50"/>
    <w:rsid w:val="00182327"/>
    <w:rsid w:val="00182A81"/>
    <w:rsid w:val="001832EC"/>
    <w:rsid w:val="00183329"/>
    <w:rsid w:val="001843C7"/>
    <w:rsid w:val="00185F19"/>
    <w:rsid w:val="00186491"/>
    <w:rsid w:val="00192DFD"/>
    <w:rsid w:val="0019350A"/>
    <w:rsid w:val="00193826"/>
    <w:rsid w:val="001941D5"/>
    <w:rsid w:val="00194448"/>
    <w:rsid w:val="001945CF"/>
    <w:rsid w:val="00194663"/>
    <w:rsid w:val="001961B2"/>
    <w:rsid w:val="00197B54"/>
    <w:rsid w:val="00197E66"/>
    <w:rsid w:val="001A0CA5"/>
    <w:rsid w:val="001A14C0"/>
    <w:rsid w:val="001A1962"/>
    <w:rsid w:val="001A1DE0"/>
    <w:rsid w:val="001A30D1"/>
    <w:rsid w:val="001A3CE5"/>
    <w:rsid w:val="001A55E7"/>
    <w:rsid w:val="001A6B29"/>
    <w:rsid w:val="001A6BD8"/>
    <w:rsid w:val="001A6E7A"/>
    <w:rsid w:val="001B0517"/>
    <w:rsid w:val="001B0A77"/>
    <w:rsid w:val="001B0CED"/>
    <w:rsid w:val="001B0F13"/>
    <w:rsid w:val="001B1A68"/>
    <w:rsid w:val="001B2679"/>
    <w:rsid w:val="001B27D1"/>
    <w:rsid w:val="001B3557"/>
    <w:rsid w:val="001B3958"/>
    <w:rsid w:val="001B39DD"/>
    <w:rsid w:val="001B3F9C"/>
    <w:rsid w:val="001B51C2"/>
    <w:rsid w:val="001B5D50"/>
    <w:rsid w:val="001B63C3"/>
    <w:rsid w:val="001B695E"/>
    <w:rsid w:val="001C2636"/>
    <w:rsid w:val="001C49CF"/>
    <w:rsid w:val="001C54C0"/>
    <w:rsid w:val="001C57C2"/>
    <w:rsid w:val="001C610E"/>
    <w:rsid w:val="001C7BDF"/>
    <w:rsid w:val="001C7D6C"/>
    <w:rsid w:val="001D0402"/>
    <w:rsid w:val="001D0C46"/>
    <w:rsid w:val="001D18AC"/>
    <w:rsid w:val="001D3568"/>
    <w:rsid w:val="001D376B"/>
    <w:rsid w:val="001D58E0"/>
    <w:rsid w:val="001D6F90"/>
    <w:rsid w:val="001D77D5"/>
    <w:rsid w:val="001D7979"/>
    <w:rsid w:val="001E1929"/>
    <w:rsid w:val="001E2044"/>
    <w:rsid w:val="001E3102"/>
    <w:rsid w:val="001E312E"/>
    <w:rsid w:val="001E4094"/>
    <w:rsid w:val="001E4327"/>
    <w:rsid w:val="001E4718"/>
    <w:rsid w:val="001E4F5B"/>
    <w:rsid w:val="001E5948"/>
    <w:rsid w:val="001E6515"/>
    <w:rsid w:val="001E72DD"/>
    <w:rsid w:val="001E75BD"/>
    <w:rsid w:val="001E75DF"/>
    <w:rsid w:val="001E7DE7"/>
    <w:rsid w:val="001F0AB9"/>
    <w:rsid w:val="001F0C3F"/>
    <w:rsid w:val="001F1452"/>
    <w:rsid w:val="001F2A3F"/>
    <w:rsid w:val="001F2B2E"/>
    <w:rsid w:val="001F314A"/>
    <w:rsid w:val="001F31EB"/>
    <w:rsid w:val="001F4C1F"/>
    <w:rsid w:val="001F7C51"/>
    <w:rsid w:val="00201176"/>
    <w:rsid w:val="002018AB"/>
    <w:rsid w:val="00201AF4"/>
    <w:rsid w:val="00203DE4"/>
    <w:rsid w:val="00204553"/>
    <w:rsid w:val="00205682"/>
    <w:rsid w:val="0020667E"/>
    <w:rsid w:val="00206930"/>
    <w:rsid w:val="00206A69"/>
    <w:rsid w:val="002071DE"/>
    <w:rsid w:val="00210BEF"/>
    <w:rsid w:val="00210CC2"/>
    <w:rsid w:val="0021142F"/>
    <w:rsid w:val="0021197E"/>
    <w:rsid w:val="00212593"/>
    <w:rsid w:val="00212A3E"/>
    <w:rsid w:val="002134CD"/>
    <w:rsid w:val="00213F19"/>
    <w:rsid w:val="00214AB8"/>
    <w:rsid w:val="002152A4"/>
    <w:rsid w:val="00215ADC"/>
    <w:rsid w:val="00215BBE"/>
    <w:rsid w:val="00216994"/>
    <w:rsid w:val="00216C41"/>
    <w:rsid w:val="00216D31"/>
    <w:rsid w:val="00216EED"/>
    <w:rsid w:val="00217DF8"/>
    <w:rsid w:val="00221201"/>
    <w:rsid w:val="00222958"/>
    <w:rsid w:val="00222C06"/>
    <w:rsid w:val="0022307D"/>
    <w:rsid w:val="00223112"/>
    <w:rsid w:val="00223310"/>
    <w:rsid w:val="00223C48"/>
    <w:rsid w:val="00223CD7"/>
    <w:rsid w:val="00223F26"/>
    <w:rsid w:val="002244F1"/>
    <w:rsid w:val="00224724"/>
    <w:rsid w:val="00225B79"/>
    <w:rsid w:val="00225FC8"/>
    <w:rsid w:val="00227B33"/>
    <w:rsid w:val="0023157F"/>
    <w:rsid w:val="0023184B"/>
    <w:rsid w:val="00231F1C"/>
    <w:rsid w:val="002327CD"/>
    <w:rsid w:val="0023282F"/>
    <w:rsid w:val="00232BCF"/>
    <w:rsid w:val="00232EA8"/>
    <w:rsid w:val="002346AD"/>
    <w:rsid w:val="00235413"/>
    <w:rsid w:val="00236FB0"/>
    <w:rsid w:val="00237094"/>
    <w:rsid w:val="00240177"/>
    <w:rsid w:val="00240B26"/>
    <w:rsid w:val="00241FE9"/>
    <w:rsid w:val="0024399D"/>
    <w:rsid w:val="002442E9"/>
    <w:rsid w:val="002455DB"/>
    <w:rsid w:val="00245DC6"/>
    <w:rsid w:val="00246947"/>
    <w:rsid w:val="0024714F"/>
    <w:rsid w:val="00247698"/>
    <w:rsid w:val="0024780F"/>
    <w:rsid w:val="0024794C"/>
    <w:rsid w:val="00250015"/>
    <w:rsid w:val="00251806"/>
    <w:rsid w:val="00251863"/>
    <w:rsid w:val="002518C0"/>
    <w:rsid w:val="00251DD5"/>
    <w:rsid w:val="00251ED6"/>
    <w:rsid w:val="002524AE"/>
    <w:rsid w:val="002524E4"/>
    <w:rsid w:val="002530B9"/>
    <w:rsid w:val="002538A3"/>
    <w:rsid w:val="00253CD5"/>
    <w:rsid w:val="00254B63"/>
    <w:rsid w:val="002553B6"/>
    <w:rsid w:val="00255F8A"/>
    <w:rsid w:val="00257703"/>
    <w:rsid w:val="00261FDF"/>
    <w:rsid w:val="00262FEB"/>
    <w:rsid w:val="00263312"/>
    <w:rsid w:val="002645B2"/>
    <w:rsid w:val="002659CE"/>
    <w:rsid w:val="00266038"/>
    <w:rsid w:val="002660F5"/>
    <w:rsid w:val="0026659D"/>
    <w:rsid w:val="00266869"/>
    <w:rsid w:val="0027001B"/>
    <w:rsid w:val="00270E4F"/>
    <w:rsid w:val="00270FB7"/>
    <w:rsid w:val="002710A9"/>
    <w:rsid w:val="002713EC"/>
    <w:rsid w:val="0027156F"/>
    <w:rsid w:val="00271C62"/>
    <w:rsid w:val="002723E7"/>
    <w:rsid w:val="00273C00"/>
    <w:rsid w:val="00273E06"/>
    <w:rsid w:val="00274878"/>
    <w:rsid w:val="00274AB6"/>
    <w:rsid w:val="00277695"/>
    <w:rsid w:val="00280133"/>
    <w:rsid w:val="00280B1D"/>
    <w:rsid w:val="00281D69"/>
    <w:rsid w:val="00281FC8"/>
    <w:rsid w:val="00282B5D"/>
    <w:rsid w:val="00283085"/>
    <w:rsid w:val="0028397F"/>
    <w:rsid w:val="002840BC"/>
    <w:rsid w:val="00285610"/>
    <w:rsid w:val="002859B5"/>
    <w:rsid w:val="0028620B"/>
    <w:rsid w:val="0028631F"/>
    <w:rsid w:val="00286B50"/>
    <w:rsid w:val="00291827"/>
    <w:rsid w:val="00291A65"/>
    <w:rsid w:val="00291E38"/>
    <w:rsid w:val="002934DE"/>
    <w:rsid w:val="00293AE3"/>
    <w:rsid w:val="002940A9"/>
    <w:rsid w:val="00294CA6"/>
    <w:rsid w:val="0029658F"/>
    <w:rsid w:val="002974D7"/>
    <w:rsid w:val="00297F61"/>
    <w:rsid w:val="002A00B3"/>
    <w:rsid w:val="002A053E"/>
    <w:rsid w:val="002A0993"/>
    <w:rsid w:val="002A0A33"/>
    <w:rsid w:val="002A1A50"/>
    <w:rsid w:val="002A1BC6"/>
    <w:rsid w:val="002A2A1A"/>
    <w:rsid w:val="002A31CC"/>
    <w:rsid w:val="002A3FA7"/>
    <w:rsid w:val="002A42BE"/>
    <w:rsid w:val="002A4303"/>
    <w:rsid w:val="002A4DAA"/>
    <w:rsid w:val="002A4F23"/>
    <w:rsid w:val="002A53D1"/>
    <w:rsid w:val="002A5510"/>
    <w:rsid w:val="002A5988"/>
    <w:rsid w:val="002A5A4F"/>
    <w:rsid w:val="002A5A58"/>
    <w:rsid w:val="002A5EC5"/>
    <w:rsid w:val="002A6CCF"/>
    <w:rsid w:val="002A7067"/>
    <w:rsid w:val="002A719C"/>
    <w:rsid w:val="002B08DF"/>
    <w:rsid w:val="002B0A84"/>
    <w:rsid w:val="002B1EBD"/>
    <w:rsid w:val="002B2EB2"/>
    <w:rsid w:val="002B3791"/>
    <w:rsid w:val="002B37B0"/>
    <w:rsid w:val="002B4517"/>
    <w:rsid w:val="002B4629"/>
    <w:rsid w:val="002B4B14"/>
    <w:rsid w:val="002B600D"/>
    <w:rsid w:val="002C00AB"/>
    <w:rsid w:val="002C0C74"/>
    <w:rsid w:val="002C1310"/>
    <w:rsid w:val="002C2075"/>
    <w:rsid w:val="002C22E8"/>
    <w:rsid w:val="002C26FE"/>
    <w:rsid w:val="002C2967"/>
    <w:rsid w:val="002C4581"/>
    <w:rsid w:val="002C645C"/>
    <w:rsid w:val="002C7129"/>
    <w:rsid w:val="002D14A0"/>
    <w:rsid w:val="002D1A82"/>
    <w:rsid w:val="002D1D57"/>
    <w:rsid w:val="002D1EB5"/>
    <w:rsid w:val="002D21A6"/>
    <w:rsid w:val="002D25AC"/>
    <w:rsid w:val="002D4168"/>
    <w:rsid w:val="002D590B"/>
    <w:rsid w:val="002D59D4"/>
    <w:rsid w:val="002D68B2"/>
    <w:rsid w:val="002D7FDB"/>
    <w:rsid w:val="002E0DB3"/>
    <w:rsid w:val="002E1B98"/>
    <w:rsid w:val="002E21B2"/>
    <w:rsid w:val="002E2271"/>
    <w:rsid w:val="002E2517"/>
    <w:rsid w:val="002E285D"/>
    <w:rsid w:val="002E324F"/>
    <w:rsid w:val="002E33B2"/>
    <w:rsid w:val="002E4BD7"/>
    <w:rsid w:val="002E4CB5"/>
    <w:rsid w:val="002E502D"/>
    <w:rsid w:val="002E6031"/>
    <w:rsid w:val="002E69F5"/>
    <w:rsid w:val="002E6A2D"/>
    <w:rsid w:val="002E6FCA"/>
    <w:rsid w:val="002E7745"/>
    <w:rsid w:val="002E7B75"/>
    <w:rsid w:val="002F0451"/>
    <w:rsid w:val="002F0837"/>
    <w:rsid w:val="002F1159"/>
    <w:rsid w:val="002F1429"/>
    <w:rsid w:val="002F151B"/>
    <w:rsid w:val="002F2196"/>
    <w:rsid w:val="002F279B"/>
    <w:rsid w:val="002F2BEF"/>
    <w:rsid w:val="002F4BEC"/>
    <w:rsid w:val="002F4C0E"/>
    <w:rsid w:val="002F4EBC"/>
    <w:rsid w:val="002F5024"/>
    <w:rsid w:val="002F5392"/>
    <w:rsid w:val="002F6621"/>
    <w:rsid w:val="002F6635"/>
    <w:rsid w:val="0030078D"/>
    <w:rsid w:val="003017F7"/>
    <w:rsid w:val="003021FF"/>
    <w:rsid w:val="00302821"/>
    <w:rsid w:val="003036C8"/>
    <w:rsid w:val="003047CB"/>
    <w:rsid w:val="0030496D"/>
    <w:rsid w:val="00310C49"/>
    <w:rsid w:val="003112E8"/>
    <w:rsid w:val="0031264B"/>
    <w:rsid w:val="00312965"/>
    <w:rsid w:val="003136A4"/>
    <w:rsid w:val="00313B28"/>
    <w:rsid w:val="00313E68"/>
    <w:rsid w:val="00314215"/>
    <w:rsid w:val="00314734"/>
    <w:rsid w:val="00314A3E"/>
    <w:rsid w:val="00315131"/>
    <w:rsid w:val="00315477"/>
    <w:rsid w:val="00315BEC"/>
    <w:rsid w:val="00315FD8"/>
    <w:rsid w:val="00316886"/>
    <w:rsid w:val="00316B7B"/>
    <w:rsid w:val="00317551"/>
    <w:rsid w:val="00317A0A"/>
    <w:rsid w:val="00320A22"/>
    <w:rsid w:val="0032177A"/>
    <w:rsid w:val="00321BDD"/>
    <w:rsid w:val="00321E0D"/>
    <w:rsid w:val="00322A6B"/>
    <w:rsid w:val="00324A0A"/>
    <w:rsid w:val="00325110"/>
    <w:rsid w:val="00326E44"/>
    <w:rsid w:val="003276E2"/>
    <w:rsid w:val="003278BF"/>
    <w:rsid w:val="00330011"/>
    <w:rsid w:val="0033017B"/>
    <w:rsid w:val="00330ABC"/>
    <w:rsid w:val="00331B2D"/>
    <w:rsid w:val="00332994"/>
    <w:rsid w:val="003360A4"/>
    <w:rsid w:val="00336528"/>
    <w:rsid w:val="00336B89"/>
    <w:rsid w:val="00337B59"/>
    <w:rsid w:val="00340622"/>
    <w:rsid w:val="00342ABE"/>
    <w:rsid w:val="00343A89"/>
    <w:rsid w:val="0034489D"/>
    <w:rsid w:val="00350D55"/>
    <w:rsid w:val="00350F18"/>
    <w:rsid w:val="00353A7A"/>
    <w:rsid w:val="00354D23"/>
    <w:rsid w:val="003552EC"/>
    <w:rsid w:val="0035586D"/>
    <w:rsid w:val="00356083"/>
    <w:rsid w:val="0035624A"/>
    <w:rsid w:val="003564E9"/>
    <w:rsid w:val="00356744"/>
    <w:rsid w:val="00357456"/>
    <w:rsid w:val="00357BBB"/>
    <w:rsid w:val="00360A35"/>
    <w:rsid w:val="00360E3A"/>
    <w:rsid w:val="00361515"/>
    <w:rsid w:val="00362378"/>
    <w:rsid w:val="00362BFE"/>
    <w:rsid w:val="00363520"/>
    <w:rsid w:val="00363AE9"/>
    <w:rsid w:val="00363F14"/>
    <w:rsid w:val="003645F1"/>
    <w:rsid w:val="0036505A"/>
    <w:rsid w:val="00365649"/>
    <w:rsid w:val="003705FC"/>
    <w:rsid w:val="00370806"/>
    <w:rsid w:val="00371FE5"/>
    <w:rsid w:val="0037235A"/>
    <w:rsid w:val="00372A8B"/>
    <w:rsid w:val="0037332D"/>
    <w:rsid w:val="003735BA"/>
    <w:rsid w:val="0037379B"/>
    <w:rsid w:val="0037405F"/>
    <w:rsid w:val="003741FC"/>
    <w:rsid w:val="003744D1"/>
    <w:rsid w:val="00377713"/>
    <w:rsid w:val="0037CEFD"/>
    <w:rsid w:val="003800A0"/>
    <w:rsid w:val="0038014E"/>
    <w:rsid w:val="003807F1"/>
    <w:rsid w:val="00381A91"/>
    <w:rsid w:val="00382D53"/>
    <w:rsid w:val="00383EBB"/>
    <w:rsid w:val="00384069"/>
    <w:rsid w:val="003841F4"/>
    <w:rsid w:val="00384ACF"/>
    <w:rsid w:val="00386ADB"/>
    <w:rsid w:val="003870D0"/>
    <w:rsid w:val="00387993"/>
    <w:rsid w:val="0039079E"/>
    <w:rsid w:val="0039104C"/>
    <w:rsid w:val="00391409"/>
    <w:rsid w:val="00391583"/>
    <w:rsid w:val="00391965"/>
    <w:rsid w:val="00391A96"/>
    <w:rsid w:val="003923E6"/>
    <w:rsid w:val="00392768"/>
    <w:rsid w:val="00393536"/>
    <w:rsid w:val="00393BA8"/>
    <w:rsid w:val="003951B8"/>
    <w:rsid w:val="00395D37"/>
    <w:rsid w:val="003967B7"/>
    <w:rsid w:val="003967DB"/>
    <w:rsid w:val="00396DC9"/>
    <w:rsid w:val="00397801"/>
    <w:rsid w:val="00397CF6"/>
    <w:rsid w:val="00397F2E"/>
    <w:rsid w:val="00397F62"/>
    <w:rsid w:val="003A014F"/>
    <w:rsid w:val="003A037D"/>
    <w:rsid w:val="003A1B13"/>
    <w:rsid w:val="003A1F86"/>
    <w:rsid w:val="003A3D4A"/>
    <w:rsid w:val="003A4ED7"/>
    <w:rsid w:val="003A5344"/>
    <w:rsid w:val="003A56BE"/>
    <w:rsid w:val="003A63ED"/>
    <w:rsid w:val="003A6E04"/>
    <w:rsid w:val="003A6E67"/>
    <w:rsid w:val="003A743D"/>
    <w:rsid w:val="003A7624"/>
    <w:rsid w:val="003B0517"/>
    <w:rsid w:val="003B0C4C"/>
    <w:rsid w:val="003B392E"/>
    <w:rsid w:val="003B4125"/>
    <w:rsid w:val="003B43ED"/>
    <w:rsid w:val="003B44FD"/>
    <w:rsid w:val="003B6D28"/>
    <w:rsid w:val="003B717E"/>
    <w:rsid w:val="003B771F"/>
    <w:rsid w:val="003B78B4"/>
    <w:rsid w:val="003C0515"/>
    <w:rsid w:val="003C06E6"/>
    <w:rsid w:val="003C09E0"/>
    <w:rsid w:val="003C0E7A"/>
    <w:rsid w:val="003C18A0"/>
    <w:rsid w:val="003C1ABF"/>
    <w:rsid w:val="003C1B1D"/>
    <w:rsid w:val="003C1C5E"/>
    <w:rsid w:val="003C2845"/>
    <w:rsid w:val="003C28B3"/>
    <w:rsid w:val="003C2B69"/>
    <w:rsid w:val="003C3955"/>
    <w:rsid w:val="003C4E71"/>
    <w:rsid w:val="003C6A5F"/>
    <w:rsid w:val="003C77F4"/>
    <w:rsid w:val="003D0C5A"/>
    <w:rsid w:val="003D0F16"/>
    <w:rsid w:val="003D19D8"/>
    <w:rsid w:val="003D1ECD"/>
    <w:rsid w:val="003D2626"/>
    <w:rsid w:val="003D4703"/>
    <w:rsid w:val="003D4DE8"/>
    <w:rsid w:val="003D572A"/>
    <w:rsid w:val="003D602D"/>
    <w:rsid w:val="003D661B"/>
    <w:rsid w:val="003D774B"/>
    <w:rsid w:val="003E0129"/>
    <w:rsid w:val="003E0401"/>
    <w:rsid w:val="003E05CB"/>
    <w:rsid w:val="003E05E0"/>
    <w:rsid w:val="003E0937"/>
    <w:rsid w:val="003E1B64"/>
    <w:rsid w:val="003E1E8D"/>
    <w:rsid w:val="003E2136"/>
    <w:rsid w:val="003E31C2"/>
    <w:rsid w:val="003E3915"/>
    <w:rsid w:val="003E4B54"/>
    <w:rsid w:val="003E4C31"/>
    <w:rsid w:val="003E4DF7"/>
    <w:rsid w:val="003E5026"/>
    <w:rsid w:val="003E57C9"/>
    <w:rsid w:val="003E71B9"/>
    <w:rsid w:val="003E786A"/>
    <w:rsid w:val="003F0579"/>
    <w:rsid w:val="003F3D26"/>
    <w:rsid w:val="003F439E"/>
    <w:rsid w:val="003F4DF8"/>
    <w:rsid w:val="003F50A3"/>
    <w:rsid w:val="003F5EC3"/>
    <w:rsid w:val="003F7C51"/>
    <w:rsid w:val="0040027F"/>
    <w:rsid w:val="00400B28"/>
    <w:rsid w:val="00400EC7"/>
    <w:rsid w:val="0040126B"/>
    <w:rsid w:val="004023C3"/>
    <w:rsid w:val="00403D8B"/>
    <w:rsid w:val="00404225"/>
    <w:rsid w:val="00404467"/>
    <w:rsid w:val="00405417"/>
    <w:rsid w:val="004068C3"/>
    <w:rsid w:val="00406B56"/>
    <w:rsid w:val="00406F50"/>
    <w:rsid w:val="004073CA"/>
    <w:rsid w:val="00407833"/>
    <w:rsid w:val="00407AF8"/>
    <w:rsid w:val="00407C4E"/>
    <w:rsid w:val="00407D5C"/>
    <w:rsid w:val="00407E9B"/>
    <w:rsid w:val="004121CD"/>
    <w:rsid w:val="00412D87"/>
    <w:rsid w:val="004132C6"/>
    <w:rsid w:val="00414DDE"/>
    <w:rsid w:val="0041513C"/>
    <w:rsid w:val="0041694C"/>
    <w:rsid w:val="00416F67"/>
    <w:rsid w:val="004172D9"/>
    <w:rsid w:val="004203BC"/>
    <w:rsid w:val="00420875"/>
    <w:rsid w:val="00421E92"/>
    <w:rsid w:val="00421F67"/>
    <w:rsid w:val="004226F7"/>
    <w:rsid w:val="004247DA"/>
    <w:rsid w:val="00424D39"/>
    <w:rsid w:val="00425A83"/>
    <w:rsid w:val="004270E8"/>
    <w:rsid w:val="0042726F"/>
    <w:rsid w:val="00430FA2"/>
    <w:rsid w:val="004319A1"/>
    <w:rsid w:val="00432D8B"/>
    <w:rsid w:val="0043382D"/>
    <w:rsid w:val="00434F44"/>
    <w:rsid w:val="00435265"/>
    <w:rsid w:val="00435A2B"/>
    <w:rsid w:val="00436BD0"/>
    <w:rsid w:val="00441283"/>
    <w:rsid w:val="00442A27"/>
    <w:rsid w:val="00442B93"/>
    <w:rsid w:val="004439FA"/>
    <w:rsid w:val="004453BC"/>
    <w:rsid w:val="0044632E"/>
    <w:rsid w:val="004464B8"/>
    <w:rsid w:val="0044670C"/>
    <w:rsid w:val="004475F3"/>
    <w:rsid w:val="00447892"/>
    <w:rsid w:val="00447C41"/>
    <w:rsid w:val="004512EE"/>
    <w:rsid w:val="00451863"/>
    <w:rsid w:val="00451967"/>
    <w:rsid w:val="00451B5C"/>
    <w:rsid w:val="004546A3"/>
    <w:rsid w:val="004561AF"/>
    <w:rsid w:val="0045683B"/>
    <w:rsid w:val="004571E6"/>
    <w:rsid w:val="0045756E"/>
    <w:rsid w:val="00457F3D"/>
    <w:rsid w:val="00457F66"/>
    <w:rsid w:val="00460038"/>
    <w:rsid w:val="00461DFC"/>
    <w:rsid w:val="00462132"/>
    <w:rsid w:val="00464A47"/>
    <w:rsid w:val="00466100"/>
    <w:rsid w:val="00466276"/>
    <w:rsid w:val="00466B0B"/>
    <w:rsid w:val="00466D89"/>
    <w:rsid w:val="00466FDC"/>
    <w:rsid w:val="0046759E"/>
    <w:rsid w:val="00467FC4"/>
    <w:rsid w:val="00470B59"/>
    <w:rsid w:val="0047173B"/>
    <w:rsid w:val="0047194B"/>
    <w:rsid w:val="00472259"/>
    <w:rsid w:val="0047353D"/>
    <w:rsid w:val="00473B71"/>
    <w:rsid w:val="00473BAA"/>
    <w:rsid w:val="0047427D"/>
    <w:rsid w:val="00474DCE"/>
    <w:rsid w:val="0047534A"/>
    <w:rsid w:val="00475797"/>
    <w:rsid w:val="004760AB"/>
    <w:rsid w:val="0047698A"/>
    <w:rsid w:val="00476BEE"/>
    <w:rsid w:val="00476DA1"/>
    <w:rsid w:val="00476F4E"/>
    <w:rsid w:val="00480C0C"/>
    <w:rsid w:val="0048148B"/>
    <w:rsid w:val="00483106"/>
    <w:rsid w:val="00483BB9"/>
    <w:rsid w:val="00484982"/>
    <w:rsid w:val="00484B8E"/>
    <w:rsid w:val="00484CFB"/>
    <w:rsid w:val="004851A9"/>
    <w:rsid w:val="004861CA"/>
    <w:rsid w:val="004866BB"/>
    <w:rsid w:val="00486C1F"/>
    <w:rsid w:val="004900EC"/>
    <w:rsid w:val="00492825"/>
    <w:rsid w:val="00493E89"/>
    <w:rsid w:val="00494454"/>
    <w:rsid w:val="004947DC"/>
    <w:rsid w:val="0049492B"/>
    <w:rsid w:val="00494EBC"/>
    <w:rsid w:val="004953E7"/>
    <w:rsid w:val="0049646D"/>
    <w:rsid w:val="004965AB"/>
    <w:rsid w:val="004972A7"/>
    <w:rsid w:val="0049761C"/>
    <w:rsid w:val="00497EF2"/>
    <w:rsid w:val="004A0111"/>
    <w:rsid w:val="004A0F53"/>
    <w:rsid w:val="004A0F72"/>
    <w:rsid w:val="004A27FA"/>
    <w:rsid w:val="004A31D2"/>
    <w:rsid w:val="004A7832"/>
    <w:rsid w:val="004B2116"/>
    <w:rsid w:val="004B34CD"/>
    <w:rsid w:val="004B41C8"/>
    <w:rsid w:val="004B5150"/>
    <w:rsid w:val="004B5742"/>
    <w:rsid w:val="004B5EC4"/>
    <w:rsid w:val="004B5F84"/>
    <w:rsid w:val="004B614C"/>
    <w:rsid w:val="004B7739"/>
    <w:rsid w:val="004C0191"/>
    <w:rsid w:val="004C0313"/>
    <w:rsid w:val="004C03FC"/>
    <w:rsid w:val="004C19F0"/>
    <w:rsid w:val="004C2081"/>
    <w:rsid w:val="004C2112"/>
    <w:rsid w:val="004C3905"/>
    <w:rsid w:val="004C64A6"/>
    <w:rsid w:val="004C66E1"/>
    <w:rsid w:val="004C7455"/>
    <w:rsid w:val="004C788A"/>
    <w:rsid w:val="004C7A00"/>
    <w:rsid w:val="004D0D16"/>
    <w:rsid w:val="004D18BC"/>
    <w:rsid w:val="004D22AA"/>
    <w:rsid w:val="004D2F0C"/>
    <w:rsid w:val="004D341E"/>
    <w:rsid w:val="004D3A7D"/>
    <w:rsid w:val="004D3B58"/>
    <w:rsid w:val="004D413C"/>
    <w:rsid w:val="004D4A01"/>
    <w:rsid w:val="004D5AE8"/>
    <w:rsid w:val="004D5F07"/>
    <w:rsid w:val="004D66B7"/>
    <w:rsid w:val="004D7101"/>
    <w:rsid w:val="004D711D"/>
    <w:rsid w:val="004D7A0B"/>
    <w:rsid w:val="004D7FBB"/>
    <w:rsid w:val="004DC846"/>
    <w:rsid w:val="004E029B"/>
    <w:rsid w:val="004E0AE3"/>
    <w:rsid w:val="004E1F5C"/>
    <w:rsid w:val="004E2046"/>
    <w:rsid w:val="004E2E23"/>
    <w:rsid w:val="004E3F1B"/>
    <w:rsid w:val="004E5304"/>
    <w:rsid w:val="004E6221"/>
    <w:rsid w:val="004E7FF6"/>
    <w:rsid w:val="004F09A1"/>
    <w:rsid w:val="004F1635"/>
    <w:rsid w:val="004F1B4E"/>
    <w:rsid w:val="004F1EAF"/>
    <w:rsid w:val="004F1ED2"/>
    <w:rsid w:val="004F2339"/>
    <w:rsid w:val="004F2F39"/>
    <w:rsid w:val="004F3595"/>
    <w:rsid w:val="004F35E4"/>
    <w:rsid w:val="004F3A97"/>
    <w:rsid w:val="004F4A48"/>
    <w:rsid w:val="004F633E"/>
    <w:rsid w:val="004F6501"/>
    <w:rsid w:val="004F7525"/>
    <w:rsid w:val="004F7B84"/>
    <w:rsid w:val="004F7C25"/>
    <w:rsid w:val="00500BBD"/>
    <w:rsid w:val="00500C37"/>
    <w:rsid w:val="00501A50"/>
    <w:rsid w:val="00501C0A"/>
    <w:rsid w:val="00502F2A"/>
    <w:rsid w:val="0050411F"/>
    <w:rsid w:val="00504D27"/>
    <w:rsid w:val="005076EB"/>
    <w:rsid w:val="005125D3"/>
    <w:rsid w:val="00513665"/>
    <w:rsid w:val="00514100"/>
    <w:rsid w:val="00514478"/>
    <w:rsid w:val="00514AED"/>
    <w:rsid w:val="00514D3B"/>
    <w:rsid w:val="00514E12"/>
    <w:rsid w:val="0051571C"/>
    <w:rsid w:val="005158B4"/>
    <w:rsid w:val="00517276"/>
    <w:rsid w:val="005175A1"/>
    <w:rsid w:val="00517C00"/>
    <w:rsid w:val="0052096D"/>
    <w:rsid w:val="005215FF"/>
    <w:rsid w:val="00521DB9"/>
    <w:rsid w:val="00523258"/>
    <w:rsid w:val="00524029"/>
    <w:rsid w:val="00524A30"/>
    <w:rsid w:val="0052538D"/>
    <w:rsid w:val="00525717"/>
    <w:rsid w:val="00526D20"/>
    <w:rsid w:val="00527B0E"/>
    <w:rsid w:val="0053009C"/>
    <w:rsid w:val="0053058F"/>
    <w:rsid w:val="00531BCF"/>
    <w:rsid w:val="0053228F"/>
    <w:rsid w:val="00533E39"/>
    <w:rsid w:val="00534F1C"/>
    <w:rsid w:val="00536085"/>
    <w:rsid w:val="00536184"/>
    <w:rsid w:val="00536A03"/>
    <w:rsid w:val="005371CC"/>
    <w:rsid w:val="0053722C"/>
    <w:rsid w:val="0053797C"/>
    <w:rsid w:val="00540EC5"/>
    <w:rsid w:val="0054182E"/>
    <w:rsid w:val="005421A3"/>
    <w:rsid w:val="005433B2"/>
    <w:rsid w:val="0054371F"/>
    <w:rsid w:val="005445A3"/>
    <w:rsid w:val="005461D2"/>
    <w:rsid w:val="0054655E"/>
    <w:rsid w:val="00546BBE"/>
    <w:rsid w:val="00546CFF"/>
    <w:rsid w:val="00547A34"/>
    <w:rsid w:val="00550702"/>
    <w:rsid w:val="00550C25"/>
    <w:rsid w:val="00551C09"/>
    <w:rsid w:val="0055234B"/>
    <w:rsid w:val="00552825"/>
    <w:rsid w:val="005538D6"/>
    <w:rsid w:val="005553CF"/>
    <w:rsid w:val="00555D6D"/>
    <w:rsid w:val="00557941"/>
    <w:rsid w:val="00560BF1"/>
    <w:rsid w:val="005625FD"/>
    <w:rsid w:val="00565498"/>
    <w:rsid w:val="00565CCB"/>
    <w:rsid w:val="00566259"/>
    <w:rsid w:val="005719B0"/>
    <w:rsid w:val="00571C0D"/>
    <w:rsid w:val="00571E78"/>
    <w:rsid w:val="00573D0C"/>
    <w:rsid w:val="00576699"/>
    <w:rsid w:val="00576888"/>
    <w:rsid w:val="00576F82"/>
    <w:rsid w:val="0057754C"/>
    <w:rsid w:val="00580654"/>
    <w:rsid w:val="00582928"/>
    <w:rsid w:val="0058317C"/>
    <w:rsid w:val="005831C0"/>
    <w:rsid w:val="00583338"/>
    <w:rsid w:val="00583AEA"/>
    <w:rsid w:val="00584B71"/>
    <w:rsid w:val="00586294"/>
    <w:rsid w:val="00586580"/>
    <w:rsid w:val="0058681D"/>
    <w:rsid w:val="00587DE3"/>
    <w:rsid w:val="005901E4"/>
    <w:rsid w:val="00590A2C"/>
    <w:rsid w:val="00591E5F"/>
    <w:rsid w:val="005928F9"/>
    <w:rsid w:val="005929AC"/>
    <w:rsid w:val="00592B5C"/>
    <w:rsid w:val="00594BE1"/>
    <w:rsid w:val="005952CA"/>
    <w:rsid w:val="005958FC"/>
    <w:rsid w:val="00595D1F"/>
    <w:rsid w:val="005960C7"/>
    <w:rsid w:val="00597905"/>
    <w:rsid w:val="00597908"/>
    <w:rsid w:val="00597B0E"/>
    <w:rsid w:val="005A05EB"/>
    <w:rsid w:val="005A0B39"/>
    <w:rsid w:val="005A0C27"/>
    <w:rsid w:val="005A0E30"/>
    <w:rsid w:val="005A1FF4"/>
    <w:rsid w:val="005A25D8"/>
    <w:rsid w:val="005A3766"/>
    <w:rsid w:val="005A5876"/>
    <w:rsid w:val="005A639E"/>
    <w:rsid w:val="005A64F3"/>
    <w:rsid w:val="005A70EB"/>
    <w:rsid w:val="005B0FDC"/>
    <w:rsid w:val="005B12B5"/>
    <w:rsid w:val="005B12D4"/>
    <w:rsid w:val="005B187C"/>
    <w:rsid w:val="005B26F0"/>
    <w:rsid w:val="005B47B9"/>
    <w:rsid w:val="005B55AB"/>
    <w:rsid w:val="005B6ABC"/>
    <w:rsid w:val="005B78A5"/>
    <w:rsid w:val="005B7B94"/>
    <w:rsid w:val="005B7ED8"/>
    <w:rsid w:val="005C09B7"/>
    <w:rsid w:val="005C11E0"/>
    <w:rsid w:val="005C1580"/>
    <w:rsid w:val="005C1D68"/>
    <w:rsid w:val="005C3655"/>
    <w:rsid w:val="005C379A"/>
    <w:rsid w:val="005C5571"/>
    <w:rsid w:val="005C5760"/>
    <w:rsid w:val="005C6CE6"/>
    <w:rsid w:val="005C72DB"/>
    <w:rsid w:val="005C75BA"/>
    <w:rsid w:val="005D0C02"/>
    <w:rsid w:val="005D0EAC"/>
    <w:rsid w:val="005D10F2"/>
    <w:rsid w:val="005D1DA2"/>
    <w:rsid w:val="005D2A9D"/>
    <w:rsid w:val="005D2CBF"/>
    <w:rsid w:val="005D2E51"/>
    <w:rsid w:val="005D4195"/>
    <w:rsid w:val="005D5483"/>
    <w:rsid w:val="005D57A3"/>
    <w:rsid w:val="005D5D8F"/>
    <w:rsid w:val="005D6962"/>
    <w:rsid w:val="005D719D"/>
    <w:rsid w:val="005E1B74"/>
    <w:rsid w:val="005E2802"/>
    <w:rsid w:val="005E3EC8"/>
    <w:rsid w:val="005E4C20"/>
    <w:rsid w:val="005E6BFF"/>
    <w:rsid w:val="005E6D57"/>
    <w:rsid w:val="005E6D77"/>
    <w:rsid w:val="005F24B0"/>
    <w:rsid w:val="005F4A9D"/>
    <w:rsid w:val="005F58E9"/>
    <w:rsid w:val="005F784D"/>
    <w:rsid w:val="005F7D49"/>
    <w:rsid w:val="005F7FEB"/>
    <w:rsid w:val="00600D1D"/>
    <w:rsid w:val="0060149F"/>
    <w:rsid w:val="00602DA5"/>
    <w:rsid w:val="006040FC"/>
    <w:rsid w:val="006047CE"/>
    <w:rsid w:val="006056CB"/>
    <w:rsid w:val="00605C25"/>
    <w:rsid w:val="00606311"/>
    <w:rsid w:val="00610167"/>
    <w:rsid w:val="00610CF0"/>
    <w:rsid w:val="00612D0D"/>
    <w:rsid w:val="0061472E"/>
    <w:rsid w:val="00615CBD"/>
    <w:rsid w:val="00616CFA"/>
    <w:rsid w:val="00617C30"/>
    <w:rsid w:val="00620579"/>
    <w:rsid w:val="00620DFB"/>
    <w:rsid w:val="0062121E"/>
    <w:rsid w:val="00622771"/>
    <w:rsid w:val="00622A1E"/>
    <w:rsid w:val="00623236"/>
    <w:rsid w:val="0062372C"/>
    <w:rsid w:val="00623960"/>
    <w:rsid w:val="00623A54"/>
    <w:rsid w:val="0062414A"/>
    <w:rsid w:val="00624260"/>
    <w:rsid w:val="00625D0E"/>
    <w:rsid w:val="00625FB5"/>
    <w:rsid w:val="006260BA"/>
    <w:rsid w:val="00626162"/>
    <w:rsid w:val="0062687B"/>
    <w:rsid w:val="00626F5A"/>
    <w:rsid w:val="006270AA"/>
    <w:rsid w:val="00627F6A"/>
    <w:rsid w:val="006309EB"/>
    <w:rsid w:val="00633673"/>
    <w:rsid w:val="00633B99"/>
    <w:rsid w:val="00634C4F"/>
    <w:rsid w:val="00634EFA"/>
    <w:rsid w:val="006354CB"/>
    <w:rsid w:val="00635CAE"/>
    <w:rsid w:val="00636025"/>
    <w:rsid w:val="006364FE"/>
    <w:rsid w:val="006366B7"/>
    <w:rsid w:val="006409D0"/>
    <w:rsid w:val="00640A53"/>
    <w:rsid w:val="00641A42"/>
    <w:rsid w:val="00641B34"/>
    <w:rsid w:val="00641D67"/>
    <w:rsid w:val="0064282D"/>
    <w:rsid w:val="00642858"/>
    <w:rsid w:val="00644C63"/>
    <w:rsid w:val="00644D24"/>
    <w:rsid w:val="0064562F"/>
    <w:rsid w:val="00645AE1"/>
    <w:rsid w:val="00650983"/>
    <w:rsid w:val="0065199D"/>
    <w:rsid w:val="00651B64"/>
    <w:rsid w:val="0065351D"/>
    <w:rsid w:val="0065408A"/>
    <w:rsid w:val="00654ED4"/>
    <w:rsid w:val="006557E3"/>
    <w:rsid w:val="00656311"/>
    <w:rsid w:val="006569C8"/>
    <w:rsid w:val="00660031"/>
    <w:rsid w:val="0066244D"/>
    <w:rsid w:val="0066293F"/>
    <w:rsid w:val="0066325A"/>
    <w:rsid w:val="00663EEE"/>
    <w:rsid w:val="00664CC3"/>
    <w:rsid w:val="0066501C"/>
    <w:rsid w:val="00665E65"/>
    <w:rsid w:val="00667154"/>
    <w:rsid w:val="00671F2C"/>
    <w:rsid w:val="00672D94"/>
    <w:rsid w:val="00672E85"/>
    <w:rsid w:val="006731D9"/>
    <w:rsid w:val="006742BD"/>
    <w:rsid w:val="00674F33"/>
    <w:rsid w:val="00680308"/>
    <w:rsid w:val="00680936"/>
    <w:rsid w:val="00680D29"/>
    <w:rsid w:val="00681762"/>
    <w:rsid w:val="00681C6A"/>
    <w:rsid w:val="00683D8B"/>
    <w:rsid w:val="00684CC6"/>
    <w:rsid w:val="00684E08"/>
    <w:rsid w:val="00684F83"/>
    <w:rsid w:val="0068508D"/>
    <w:rsid w:val="00685529"/>
    <w:rsid w:val="00685AA7"/>
    <w:rsid w:val="0068661D"/>
    <w:rsid w:val="0068670D"/>
    <w:rsid w:val="00686DAF"/>
    <w:rsid w:val="00687552"/>
    <w:rsid w:val="0069008C"/>
    <w:rsid w:val="00690884"/>
    <w:rsid w:val="00692300"/>
    <w:rsid w:val="00692A7F"/>
    <w:rsid w:val="00692DE6"/>
    <w:rsid w:val="006930F3"/>
    <w:rsid w:val="00693951"/>
    <w:rsid w:val="006942EC"/>
    <w:rsid w:val="00694CAA"/>
    <w:rsid w:val="0069589D"/>
    <w:rsid w:val="006969BA"/>
    <w:rsid w:val="006975F7"/>
    <w:rsid w:val="006A01C2"/>
    <w:rsid w:val="006A0C14"/>
    <w:rsid w:val="006A23F4"/>
    <w:rsid w:val="006A2975"/>
    <w:rsid w:val="006A2F04"/>
    <w:rsid w:val="006A3107"/>
    <w:rsid w:val="006A3553"/>
    <w:rsid w:val="006A3F42"/>
    <w:rsid w:val="006A459C"/>
    <w:rsid w:val="006A491C"/>
    <w:rsid w:val="006A4A62"/>
    <w:rsid w:val="006A5341"/>
    <w:rsid w:val="006A577E"/>
    <w:rsid w:val="006A5A54"/>
    <w:rsid w:val="006A6BDA"/>
    <w:rsid w:val="006B07D1"/>
    <w:rsid w:val="006B0B54"/>
    <w:rsid w:val="006B15A1"/>
    <w:rsid w:val="006B17C8"/>
    <w:rsid w:val="006B2111"/>
    <w:rsid w:val="006B27F2"/>
    <w:rsid w:val="006B2B9F"/>
    <w:rsid w:val="006B34A4"/>
    <w:rsid w:val="006B3927"/>
    <w:rsid w:val="006B5D00"/>
    <w:rsid w:val="006B5E9F"/>
    <w:rsid w:val="006B7C6E"/>
    <w:rsid w:val="006C1F47"/>
    <w:rsid w:val="006C2C31"/>
    <w:rsid w:val="006C4F43"/>
    <w:rsid w:val="006C53A5"/>
    <w:rsid w:val="006C55CA"/>
    <w:rsid w:val="006C5887"/>
    <w:rsid w:val="006C67A8"/>
    <w:rsid w:val="006C6D0F"/>
    <w:rsid w:val="006C706E"/>
    <w:rsid w:val="006C7224"/>
    <w:rsid w:val="006C78E4"/>
    <w:rsid w:val="006D0223"/>
    <w:rsid w:val="006D218F"/>
    <w:rsid w:val="006D3100"/>
    <w:rsid w:val="006D4279"/>
    <w:rsid w:val="006D4E72"/>
    <w:rsid w:val="006D5177"/>
    <w:rsid w:val="006D54F6"/>
    <w:rsid w:val="006D66FA"/>
    <w:rsid w:val="006E06C6"/>
    <w:rsid w:val="006E0F01"/>
    <w:rsid w:val="006E378D"/>
    <w:rsid w:val="006E3AD8"/>
    <w:rsid w:val="006E3D7B"/>
    <w:rsid w:val="006E5AC7"/>
    <w:rsid w:val="006E5F9F"/>
    <w:rsid w:val="006E60C0"/>
    <w:rsid w:val="006E6698"/>
    <w:rsid w:val="006E79AD"/>
    <w:rsid w:val="006F046E"/>
    <w:rsid w:val="006F0C83"/>
    <w:rsid w:val="006F0EAD"/>
    <w:rsid w:val="006F1E99"/>
    <w:rsid w:val="006F28E0"/>
    <w:rsid w:val="006F394D"/>
    <w:rsid w:val="006F3CAE"/>
    <w:rsid w:val="006F43EA"/>
    <w:rsid w:val="006F5CB6"/>
    <w:rsid w:val="006F5EC8"/>
    <w:rsid w:val="006F6A03"/>
    <w:rsid w:val="006F6D12"/>
    <w:rsid w:val="006F7EB0"/>
    <w:rsid w:val="007011C8"/>
    <w:rsid w:val="00701248"/>
    <w:rsid w:val="007016FE"/>
    <w:rsid w:val="00703279"/>
    <w:rsid w:val="00703CEB"/>
    <w:rsid w:val="00703EE6"/>
    <w:rsid w:val="00705B06"/>
    <w:rsid w:val="007062DC"/>
    <w:rsid w:val="007070D7"/>
    <w:rsid w:val="00707780"/>
    <w:rsid w:val="00707F73"/>
    <w:rsid w:val="00711AE3"/>
    <w:rsid w:val="00713255"/>
    <w:rsid w:val="00714D0D"/>
    <w:rsid w:val="007158CE"/>
    <w:rsid w:val="00716D8E"/>
    <w:rsid w:val="0071720B"/>
    <w:rsid w:val="00717361"/>
    <w:rsid w:val="00720393"/>
    <w:rsid w:val="00720AA7"/>
    <w:rsid w:val="00720F9F"/>
    <w:rsid w:val="0072106C"/>
    <w:rsid w:val="00721700"/>
    <w:rsid w:val="007220CC"/>
    <w:rsid w:val="00722CF4"/>
    <w:rsid w:val="00723771"/>
    <w:rsid w:val="00726636"/>
    <w:rsid w:val="00726749"/>
    <w:rsid w:val="00726E38"/>
    <w:rsid w:val="00726EDA"/>
    <w:rsid w:val="0073044A"/>
    <w:rsid w:val="007304DC"/>
    <w:rsid w:val="0073058A"/>
    <w:rsid w:val="007313A3"/>
    <w:rsid w:val="00731679"/>
    <w:rsid w:val="007318F9"/>
    <w:rsid w:val="0073210D"/>
    <w:rsid w:val="0073252C"/>
    <w:rsid w:val="00733DA9"/>
    <w:rsid w:val="007341CC"/>
    <w:rsid w:val="00735024"/>
    <w:rsid w:val="0073524E"/>
    <w:rsid w:val="00735C39"/>
    <w:rsid w:val="00736A1C"/>
    <w:rsid w:val="00737CB1"/>
    <w:rsid w:val="00740A58"/>
    <w:rsid w:val="007412EB"/>
    <w:rsid w:val="007426B7"/>
    <w:rsid w:val="007428B8"/>
    <w:rsid w:val="00742D61"/>
    <w:rsid w:val="00743468"/>
    <w:rsid w:val="007438D1"/>
    <w:rsid w:val="00744024"/>
    <w:rsid w:val="00744056"/>
    <w:rsid w:val="0074415C"/>
    <w:rsid w:val="00744A47"/>
    <w:rsid w:val="007451B3"/>
    <w:rsid w:val="00745321"/>
    <w:rsid w:val="007456E3"/>
    <w:rsid w:val="00745E55"/>
    <w:rsid w:val="00746164"/>
    <w:rsid w:val="007472C7"/>
    <w:rsid w:val="007479AB"/>
    <w:rsid w:val="007527AC"/>
    <w:rsid w:val="00752CD4"/>
    <w:rsid w:val="00753471"/>
    <w:rsid w:val="007537E0"/>
    <w:rsid w:val="00753B1B"/>
    <w:rsid w:val="007546B8"/>
    <w:rsid w:val="00754BBD"/>
    <w:rsid w:val="00755834"/>
    <w:rsid w:val="00755C32"/>
    <w:rsid w:val="00756290"/>
    <w:rsid w:val="007567D2"/>
    <w:rsid w:val="00760895"/>
    <w:rsid w:val="0076363D"/>
    <w:rsid w:val="007644E5"/>
    <w:rsid w:val="0076470B"/>
    <w:rsid w:val="00764D52"/>
    <w:rsid w:val="00765A6C"/>
    <w:rsid w:val="00765D88"/>
    <w:rsid w:val="00766080"/>
    <w:rsid w:val="00766B44"/>
    <w:rsid w:val="00766CCF"/>
    <w:rsid w:val="00766EF0"/>
    <w:rsid w:val="00766F89"/>
    <w:rsid w:val="00767582"/>
    <w:rsid w:val="00771244"/>
    <w:rsid w:val="00772C44"/>
    <w:rsid w:val="00773AD7"/>
    <w:rsid w:val="007750F6"/>
    <w:rsid w:val="00777938"/>
    <w:rsid w:val="007804A0"/>
    <w:rsid w:val="00780BB6"/>
    <w:rsid w:val="00780C80"/>
    <w:rsid w:val="00782DCF"/>
    <w:rsid w:val="00783BEB"/>
    <w:rsid w:val="007867AA"/>
    <w:rsid w:val="00786B44"/>
    <w:rsid w:val="00786F5A"/>
    <w:rsid w:val="00787234"/>
    <w:rsid w:val="0079045B"/>
    <w:rsid w:val="0079052C"/>
    <w:rsid w:val="00790608"/>
    <w:rsid w:val="0079114D"/>
    <w:rsid w:val="00791289"/>
    <w:rsid w:val="00793405"/>
    <w:rsid w:val="00793677"/>
    <w:rsid w:val="007940C5"/>
    <w:rsid w:val="00794718"/>
    <w:rsid w:val="007947C8"/>
    <w:rsid w:val="00794994"/>
    <w:rsid w:val="00794EA3"/>
    <w:rsid w:val="00795E26"/>
    <w:rsid w:val="0079633E"/>
    <w:rsid w:val="00796579"/>
    <w:rsid w:val="00796D42"/>
    <w:rsid w:val="00796FA7"/>
    <w:rsid w:val="007A0BDA"/>
    <w:rsid w:val="007A38CE"/>
    <w:rsid w:val="007A41E2"/>
    <w:rsid w:val="007A4590"/>
    <w:rsid w:val="007A4A1C"/>
    <w:rsid w:val="007A5B39"/>
    <w:rsid w:val="007A6024"/>
    <w:rsid w:val="007B0CAF"/>
    <w:rsid w:val="007B0F56"/>
    <w:rsid w:val="007B2CD9"/>
    <w:rsid w:val="007B2EE3"/>
    <w:rsid w:val="007B43F4"/>
    <w:rsid w:val="007B4A1E"/>
    <w:rsid w:val="007B4BA6"/>
    <w:rsid w:val="007B5937"/>
    <w:rsid w:val="007B79C8"/>
    <w:rsid w:val="007C2235"/>
    <w:rsid w:val="007C2EB4"/>
    <w:rsid w:val="007C3384"/>
    <w:rsid w:val="007C3AD4"/>
    <w:rsid w:val="007C423C"/>
    <w:rsid w:val="007C459C"/>
    <w:rsid w:val="007C5697"/>
    <w:rsid w:val="007C5B3D"/>
    <w:rsid w:val="007C626A"/>
    <w:rsid w:val="007C6A99"/>
    <w:rsid w:val="007C72D4"/>
    <w:rsid w:val="007C7DBF"/>
    <w:rsid w:val="007D046E"/>
    <w:rsid w:val="007D0EDF"/>
    <w:rsid w:val="007D1A34"/>
    <w:rsid w:val="007D2353"/>
    <w:rsid w:val="007D2C04"/>
    <w:rsid w:val="007D2E7F"/>
    <w:rsid w:val="007D4EA7"/>
    <w:rsid w:val="007D50B4"/>
    <w:rsid w:val="007D59B7"/>
    <w:rsid w:val="007D5B43"/>
    <w:rsid w:val="007D63BB"/>
    <w:rsid w:val="007D65B8"/>
    <w:rsid w:val="007D69C7"/>
    <w:rsid w:val="007D6A8F"/>
    <w:rsid w:val="007D6AF2"/>
    <w:rsid w:val="007D6D7C"/>
    <w:rsid w:val="007E0AD2"/>
    <w:rsid w:val="007E0B27"/>
    <w:rsid w:val="007E1CC5"/>
    <w:rsid w:val="007E216F"/>
    <w:rsid w:val="007E241B"/>
    <w:rsid w:val="007E25A5"/>
    <w:rsid w:val="007E275C"/>
    <w:rsid w:val="007E2E4A"/>
    <w:rsid w:val="007E3379"/>
    <w:rsid w:val="007E4BD6"/>
    <w:rsid w:val="007E5F99"/>
    <w:rsid w:val="007F08BA"/>
    <w:rsid w:val="007F0DB2"/>
    <w:rsid w:val="007F234D"/>
    <w:rsid w:val="007F2579"/>
    <w:rsid w:val="007F27F7"/>
    <w:rsid w:val="007F29EC"/>
    <w:rsid w:val="007F4252"/>
    <w:rsid w:val="007F5747"/>
    <w:rsid w:val="007F6C52"/>
    <w:rsid w:val="00800022"/>
    <w:rsid w:val="008018E1"/>
    <w:rsid w:val="00801BAD"/>
    <w:rsid w:val="008023B9"/>
    <w:rsid w:val="00802908"/>
    <w:rsid w:val="00802EEA"/>
    <w:rsid w:val="00802F35"/>
    <w:rsid w:val="0080497D"/>
    <w:rsid w:val="00804A3E"/>
    <w:rsid w:val="00805584"/>
    <w:rsid w:val="00805A71"/>
    <w:rsid w:val="0080625D"/>
    <w:rsid w:val="008077F3"/>
    <w:rsid w:val="008107B3"/>
    <w:rsid w:val="00810A86"/>
    <w:rsid w:val="008111B5"/>
    <w:rsid w:val="008113FF"/>
    <w:rsid w:val="00811432"/>
    <w:rsid w:val="008118F5"/>
    <w:rsid w:val="00812761"/>
    <w:rsid w:val="0081387E"/>
    <w:rsid w:val="00814988"/>
    <w:rsid w:val="00815FA0"/>
    <w:rsid w:val="00820B71"/>
    <w:rsid w:val="00821019"/>
    <w:rsid w:val="008222B9"/>
    <w:rsid w:val="0082311F"/>
    <w:rsid w:val="00823A6A"/>
    <w:rsid w:val="00823B51"/>
    <w:rsid w:val="00823C4B"/>
    <w:rsid w:val="00824191"/>
    <w:rsid w:val="00824679"/>
    <w:rsid w:val="008255AA"/>
    <w:rsid w:val="0082594A"/>
    <w:rsid w:val="00826D91"/>
    <w:rsid w:val="008277B3"/>
    <w:rsid w:val="00827BCC"/>
    <w:rsid w:val="00827D55"/>
    <w:rsid w:val="00827EF3"/>
    <w:rsid w:val="00830AB0"/>
    <w:rsid w:val="0083246D"/>
    <w:rsid w:val="00832845"/>
    <w:rsid w:val="00832A8F"/>
    <w:rsid w:val="00833725"/>
    <w:rsid w:val="00835054"/>
    <w:rsid w:val="0083506A"/>
    <w:rsid w:val="008355C3"/>
    <w:rsid w:val="00835968"/>
    <w:rsid w:val="00835B05"/>
    <w:rsid w:val="00835BC5"/>
    <w:rsid w:val="0083637F"/>
    <w:rsid w:val="00836612"/>
    <w:rsid w:val="00836724"/>
    <w:rsid w:val="008367D2"/>
    <w:rsid w:val="00836BBA"/>
    <w:rsid w:val="00836E67"/>
    <w:rsid w:val="0083701E"/>
    <w:rsid w:val="008379F6"/>
    <w:rsid w:val="008400EC"/>
    <w:rsid w:val="00840F42"/>
    <w:rsid w:val="00841F5A"/>
    <w:rsid w:val="0084221B"/>
    <w:rsid w:val="00842581"/>
    <w:rsid w:val="008429CE"/>
    <w:rsid w:val="00842EC5"/>
    <w:rsid w:val="0084352A"/>
    <w:rsid w:val="00843778"/>
    <w:rsid w:val="00844B00"/>
    <w:rsid w:val="008450D4"/>
    <w:rsid w:val="00845421"/>
    <w:rsid w:val="00845F42"/>
    <w:rsid w:val="00846BF6"/>
    <w:rsid w:val="00847477"/>
    <w:rsid w:val="0084764B"/>
    <w:rsid w:val="008479D9"/>
    <w:rsid w:val="00850FA5"/>
    <w:rsid w:val="00851303"/>
    <w:rsid w:val="008515AA"/>
    <w:rsid w:val="008515F4"/>
    <w:rsid w:val="00851843"/>
    <w:rsid w:val="00852E5B"/>
    <w:rsid w:val="0085328D"/>
    <w:rsid w:val="00853C01"/>
    <w:rsid w:val="00855037"/>
    <w:rsid w:val="0085576D"/>
    <w:rsid w:val="00856073"/>
    <w:rsid w:val="0085660E"/>
    <w:rsid w:val="00856CD0"/>
    <w:rsid w:val="00856FF5"/>
    <w:rsid w:val="00857C05"/>
    <w:rsid w:val="008622F3"/>
    <w:rsid w:val="00862498"/>
    <w:rsid w:val="008625CF"/>
    <w:rsid w:val="00863105"/>
    <w:rsid w:val="00863226"/>
    <w:rsid w:val="0086341D"/>
    <w:rsid w:val="00863A1C"/>
    <w:rsid w:val="00863CF6"/>
    <w:rsid w:val="008645F5"/>
    <w:rsid w:val="008646B9"/>
    <w:rsid w:val="00866ADC"/>
    <w:rsid w:val="00867D13"/>
    <w:rsid w:val="00867D85"/>
    <w:rsid w:val="008700C0"/>
    <w:rsid w:val="0087096F"/>
    <w:rsid w:val="00871011"/>
    <w:rsid w:val="00872740"/>
    <w:rsid w:val="008731E5"/>
    <w:rsid w:val="00873425"/>
    <w:rsid w:val="008739CE"/>
    <w:rsid w:val="00873A70"/>
    <w:rsid w:val="00874A7F"/>
    <w:rsid w:val="00875665"/>
    <w:rsid w:val="00875AB3"/>
    <w:rsid w:val="00876448"/>
    <w:rsid w:val="00876FE9"/>
    <w:rsid w:val="00877B5B"/>
    <w:rsid w:val="00877E11"/>
    <w:rsid w:val="00881A80"/>
    <w:rsid w:val="0088206E"/>
    <w:rsid w:val="00882124"/>
    <w:rsid w:val="0088252F"/>
    <w:rsid w:val="00883649"/>
    <w:rsid w:val="00883DC9"/>
    <w:rsid w:val="00885553"/>
    <w:rsid w:val="00885AA7"/>
    <w:rsid w:val="00886AC5"/>
    <w:rsid w:val="00887B77"/>
    <w:rsid w:val="008902DB"/>
    <w:rsid w:val="008909EE"/>
    <w:rsid w:val="00890B4A"/>
    <w:rsid w:val="0089190C"/>
    <w:rsid w:val="00891D6D"/>
    <w:rsid w:val="008924A9"/>
    <w:rsid w:val="00892A6E"/>
    <w:rsid w:val="00893E47"/>
    <w:rsid w:val="0089402A"/>
    <w:rsid w:val="00895263"/>
    <w:rsid w:val="00895C7B"/>
    <w:rsid w:val="00896584"/>
    <w:rsid w:val="00896655"/>
    <w:rsid w:val="00896BFF"/>
    <w:rsid w:val="008974BE"/>
    <w:rsid w:val="0089763D"/>
    <w:rsid w:val="008A01F0"/>
    <w:rsid w:val="008A1E0C"/>
    <w:rsid w:val="008A2E3D"/>
    <w:rsid w:val="008A2F2F"/>
    <w:rsid w:val="008A446F"/>
    <w:rsid w:val="008A4DBD"/>
    <w:rsid w:val="008A54C7"/>
    <w:rsid w:val="008A59FF"/>
    <w:rsid w:val="008A6C6A"/>
    <w:rsid w:val="008A6CA5"/>
    <w:rsid w:val="008A7B4E"/>
    <w:rsid w:val="008B019B"/>
    <w:rsid w:val="008B03F1"/>
    <w:rsid w:val="008B0CE5"/>
    <w:rsid w:val="008B128D"/>
    <w:rsid w:val="008B1553"/>
    <w:rsid w:val="008B2660"/>
    <w:rsid w:val="008B50F2"/>
    <w:rsid w:val="008B53F5"/>
    <w:rsid w:val="008B6F6D"/>
    <w:rsid w:val="008C0516"/>
    <w:rsid w:val="008C261B"/>
    <w:rsid w:val="008C33FA"/>
    <w:rsid w:val="008C345B"/>
    <w:rsid w:val="008C42C5"/>
    <w:rsid w:val="008C7BC6"/>
    <w:rsid w:val="008D06C9"/>
    <w:rsid w:val="008D0F2E"/>
    <w:rsid w:val="008D185D"/>
    <w:rsid w:val="008D1B04"/>
    <w:rsid w:val="008D1FCA"/>
    <w:rsid w:val="008D2381"/>
    <w:rsid w:val="008D2C62"/>
    <w:rsid w:val="008D2CA4"/>
    <w:rsid w:val="008D4672"/>
    <w:rsid w:val="008D481C"/>
    <w:rsid w:val="008D4FEF"/>
    <w:rsid w:val="008D787A"/>
    <w:rsid w:val="008E04B9"/>
    <w:rsid w:val="008E080B"/>
    <w:rsid w:val="008E083E"/>
    <w:rsid w:val="008E1240"/>
    <w:rsid w:val="008E2180"/>
    <w:rsid w:val="008E4988"/>
    <w:rsid w:val="008E577C"/>
    <w:rsid w:val="008E5AF2"/>
    <w:rsid w:val="008E6319"/>
    <w:rsid w:val="008F092A"/>
    <w:rsid w:val="008F100C"/>
    <w:rsid w:val="008F33EB"/>
    <w:rsid w:val="008F3ED1"/>
    <w:rsid w:val="008F3F20"/>
    <w:rsid w:val="008F4414"/>
    <w:rsid w:val="008F598E"/>
    <w:rsid w:val="008F6F38"/>
    <w:rsid w:val="00900056"/>
    <w:rsid w:val="00900710"/>
    <w:rsid w:val="00901589"/>
    <w:rsid w:val="0090198E"/>
    <w:rsid w:val="0090260F"/>
    <w:rsid w:val="00902822"/>
    <w:rsid w:val="0090396C"/>
    <w:rsid w:val="009044D3"/>
    <w:rsid w:val="009058C2"/>
    <w:rsid w:val="00906E14"/>
    <w:rsid w:val="00907E01"/>
    <w:rsid w:val="0091003A"/>
    <w:rsid w:val="0091117B"/>
    <w:rsid w:val="00911D52"/>
    <w:rsid w:val="00916108"/>
    <w:rsid w:val="0091690C"/>
    <w:rsid w:val="00917026"/>
    <w:rsid w:val="00917C8D"/>
    <w:rsid w:val="00920993"/>
    <w:rsid w:val="00920BCD"/>
    <w:rsid w:val="009219EA"/>
    <w:rsid w:val="00921C68"/>
    <w:rsid w:val="00922C9F"/>
    <w:rsid w:val="00922D1E"/>
    <w:rsid w:val="00924839"/>
    <w:rsid w:val="0092569B"/>
    <w:rsid w:val="00926811"/>
    <w:rsid w:val="00930660"/>
    <w:rsid w:val="00930F67"/>
    <w:rsid w:val="0093122C"/>
    <w:rsid w:val="009333E0"/>
    <w:rsid w:val="0093411C"/>
    <w:rsid w:val="009357A5"/>
    <w:rsid w:val="009358A8"/>
    <w:rsid w:val="0093590E"/>
    <w:rsid w:val="00935D41"/>
    <w:rsid w:val="00936920"/>
    <w:rsid w:val="009375CD"/>
    <w:rsid w:val="00937659"/>
    <w:rsid w:val="00940517"/>
    <w:rsid w:val="00940B6A"/>
    <w:rsid w:val="009410D4"/>
    <w:rsid w:val="00942D77"/>
    <w:rsid w:val="00942DB2"/>
    <w:rsid w:val="00943210"/>
    <w:rsid w:val="009432CF"/>
    <w:rsid w:val="009433C9"/>
    <w:rsid w:val="009439EA"/>
    <w:rsid w:val="00944F79"/>
    <w:rsid w:val="00945B22"/>
    <w:rsid w:val="00946280"/>
    <w:rsid w:val="009476FF"/>
    <w:rsid w:val="00950A33"/>
    <w:rsid w:val="00950B9D"/>
    <w:rsid w:val="009511B9"/>
    <w:rsid w:val="00953F5B"/>
    <w:rsid w:val="00954055"/>
    <w:rsid w:val="00954180"/>
    <w:rsid w:val="00954A22"/>
    <w:rsid w:val="00954F3B"/>
    <w:rsid w:val="00955CA2"/>
    <w:rsid w:val="00960A59"/>
    <w:rsid w:val="009613A1"/>
    <w:rsid w:val="00961687"/>
    <w:rsid w:val="00962ECD"/>
    <w:rsid w:val="009631BD"/>
    <w:rsid w:val="009651C3"/>
    <w:rsid w:val="009651CC"/>
    <w:rsid w:val="009654B6"/>
    <w:rsid w:val="00965BE6"/>
    <w:rsid w:val="009662F6"/>
    <w:rsid w:val="0096707D"/>
    <w:rsid w:val="009676DC"/>
    <w:rsid w:val="00970E34"/>
    <w:rsid w:val="00970EC2"/>
    <w:rsid w:val="00970FF8"/>
    <w:rsid w:val="009712A5"/>
    <w:rsid w:val="0097281E"/>
    <w:rsid w:val="009728F0"/>
    <w:rsid w:val="00972C06"/>
    <w:rsid w:val="009733CE"/>
    <w:rsid w:val="0097447C"/>
    <w:rsid w:val="009746B5"/>
    <w:rsid w:val="0097499E"/>
    <w:rsid w:val="00974DBD"/>
    <w:rsid w:val="00974E0F"/>
    <w:rsid w:val="0097642A"/>
    <w:rsid w:val="00977EC4"/>
    <w:rsid w:val="00977F9E"/>
    <w:rsid w:val="00980F19"/>
    <w:rsid w:val="0098108A"/>
    <w:rsid w:val="00981A1D"/>
    <w:rsid w:val="00981F38"/>
    <w:rsid w:val="0098256C"/>
    <w:rsid w:val="00982992"/>
    <w:rsid w:val="0098418C"/>
    <w:rsid w:val="00984D88"/>
    <w:rsid w:val="009855E3"/>
    <w:rsid w:val="00985A8C"/>
    <w:rsid w:val="009869A5"/>
    <w:rsid w:val="00986EE7"/>
    <w:rsid w:val="00990021"/>
    <w:rsid w:val="009904B2"/>
    <w:rsid w:val="009908B0"/>
    <w:rsid w:val="0099090E"/>
    <w:rsid w:val="00990BE8"/>
    <w:rsid w:val="009920B3"/>
    <w:rsid w:val="00992222"/>
    <w:rsid w:val="00992338"/>
    <w:rsid w:val="009945A2"/>
    <w:rsid w:val="00994B6D"/>
    <w:rsid w:val="00995193"/>
    <w:rsid w:val="00995C99"/>
    <w:rsid w:val="00995EE7"/>
    <w:rsid w:val="00996E22"/>
    <w:rsid w:val="009A01D7"/>
    <w:rsid w:val="009A0A5C"/>
    <w:rsid w:val="009A1407"/>
    <w:rsid w:val="009A1C2A"/>
    <w:rsid w:val="009A1CEC"/>
    <w:rsid w:val="009A22FB"/>
    <w:rsid w:val="009A2A4C"/>
    <w:rsid w:val="009A2C43"/>
    <w:rsid w:val="009A3C7E"/>
    <w:rsid w:val="009A40F9"/>
    <w:rsid w:val="009A508E"/>
    <w:rsid w:val="009A6A61"/>
    <w:rsid w:val="009A6A97"/>
    <w:rsid w:val="009A767E"/>
    <w:rsid w:val="009B04E1"/>
    <w:rsid w:val="009B0555"/>
    <w:rsid w:val="009B1331"/>
    <w:rsid w:val="009B392F"/>
    <w:rsid w:val="009B3D62"/>
    <w:rsid w:val="009B444C"/>
    <w:rsid w:val="009B637D"/>
    <w:rsid w:val="009B6FA7"/>
    <w:rsid w:val="009B77D3"/>
    <w:rsid w:val="009B7B68"/>
    <w:rsid w:val="009B7F34"/>
    <w:rsid w:val="009C031C"/>
    <w:rsid w:val="009C0C30"/>
    <w:rsid w:val="009C0E7A"/>
    <w:rsid w:val="009C2AA1"/>
    <w:rsid w:val="009C4D50"/>
    <w:rsid w:val="009C5EC4"/>
    <w:rsid w:val="009C6850"/>
    <w:rsid w:val="009C6958"/>
    <w:rsid w:val="009C6F25"/>
    <w:rsid w:val="009C6F48"/>
    <w:rsid w:val="009D016F"/>
    <w:rsid w:val="009D15F5"/>
    <w:rsid w:val="009D33CE"/>
    <w:rsid w:val="009D3FAB"/>
    <w:rsid w:val="009D4679"/>
    <w:rsid w:val="009D4E08"/>
    <w:rsid w:val="009D5028"/>
    <w:rsid w:val="009D68EC"/>
    <w:rsid w:val="009D694E"/>
    <w:rsid w:val="009D702C"/>
    <w:rsid w:val="009D7335"/>
    <w:rsid w:val="009DBB0C"/>
    <w:rsid w:val="009E08E8"/>
    <w:rsid w:val="009E0D87"/>
    <w:rsid w:val="009E15C5"/>
    <w:rsid w:val="009E2B33"/>
    <w:rsid w:val="009E2C75"/>
    <w:rsid w:val="009E32E3"/>
    <w:rsid w:val="009E4786"/>
    <w:rsid w:val="009E48D7"/>
    <w:rsid w:val="009E54D5"/>
    <w:rsid w:val="009E56BD"/>
    <w:rsid w:val="009E5734"/>
    <w:rsid w:val="009E5CBC"/>
    <w:rsid w:val="009E7625"/>
    <w:rsid w:val="009F02FF"/>
    <w:rsid w:val="009F08A3"/>
    <w:rsid w:val="009F0E37"/>
    <w:rsid w:val="009F1125"/>
    <w:rsid w:val="009F33AA"/>
    <w:rsid w:val="009F36EE"/>
    <w:rsid w:val="009F3CDC"/>
    <w:rsid w:val="009F3EE9"/>
    <w:rsid w:val="009F571B"/>
    <w:rsid w:val="009F7331"/>
    <w:rsid w:val="009F776B"/>
    <w:rsid w:val="009F785F"/>
    <w:rsid w:val="00A00F9C"/>
    <w:rsid w:val="00A011A9"/>
    <w:rsid w:val="00A01FDF"/>
    <w:rsid w:val="00A0205C"/>
    <w:rsid w:val="00A037DB"/>
    <w:rsid w:val="00A03D87"/>
    <w:rsid w:val="00A049A4"/>
    <w:rsid w:val="00A05C90"/>
    <w:rsid w:val="00A060D1"/>
    <w:rsid w:val="00A07737"/>
    <w:rsid w:val="00A07F42"/>
    <w:rsid w:val="00A10CB5"/>
    <w:rsid w:val="00A1284F"/>
    <w:rsid w:val="00A1322F"/>
    <w:rsid w:val="00A13AE5"/>
    <w:rsid w:val="00A14969"/>
    <w:rsid w:val="00A14B32"/>
    <w:rsid w:val="00A15782"/>
    <w:rsid w:val="00A15DE8"/>
    <w:rsid w:val="00A16315"/>
    <w:rsid w:val="00A16520"/>
    <w:rsid w:val="00A16C18"/>
    <w:rsid w:val="00A203AA"/>
    <w:rsid w:val="00A205D3"/>
    <w:rsid w:val="00A20E4C"/>
    <w:rsid w:val="00A214DB"/>
    <w:rsid w:val="00A217A1"/>
    <w:rsid w:val="00A22022"/>
    <w:rsid w:val="00A22452"/>
    <w:rsid w:val="00A22915"/>
    <w:rsid w:val="00A23228"/>
    <w:rsid w:val="00A24618"/>
    <w:rsid w:val="00A24AF4"/>
    <w:rsid w:val="00A26DE8"/>
    <w:rsid w:val="00A30B3C"/>
    <w:rsid w:val="00A32774"/>
    <w:rsid w:val="00A33F0A"/>
    <w:rsid w:val="00A359E0"/>
    <w:rsid w:val="00A35C90"/>
    <w:rsid w:val="00A37649"/>
    <w:rsid w:val="00A3781E"/>
    <w:rsid w:val="00A40287"/>
    <w:rsid w:val="00A41EA5"/>
    <w:rsid w:val="00A42F42"/>
    <w:rsid w:val="00A42FF2"/>
    <w:rsid w:val="00A430B0"/>
    <w:rsid w:val="00A43D0B"/>
    <w:rsid w:val="00A44F11"/>
    <w:rsid w:val="00A46466"/>
    <w:rsid w:val="00A465EC"/>
    <w:rsid w:val="00A50016"/>
    <w:rsid w:val="00A50B31"/>
    <w:rsid w:val="00A516F5"/>
    <w:rsid w:val="00A521E5"/>
    <w:rsid w:val="00A52250"/>
    <w:rsid w:val="00A52CAD"/>
    <w:rsid w:val="00A5362C"/>
    <w:rsid w:val="00A53820"/>
    <w:rsid w:val="00A53EC6"/>
    <w:rsid w:val="00A54C60"/>
    <w:rsid w:val="00A551A9"/>
    <w:rsid w:val="00A55495"/>
    <w:rsid w:val="00A55B22"/>
    <w:rsid w:val="00A5691E"/>
    <w:rsid w:val="00A56E5D"/>
    <w:rsid w:val="00A57279"/>
    <w:rsid w:val="00A57D4F"/>
    <w:rsid w:val="00A57E5A"/>
    <w:rsid w:val="00A584A5"/>
    <w:rsid w:val="00A60106"/>
    <w:rsid w:val="00A602F8"/>
    <w:rsid w:val="00A608E5"/>
    <w:rsid w:val="00A609AF"/>
    <w:rsid w:val="00A6203A"/>
    <w:rsid w:val="00A62387"/>
    <w:rsid w:val="00A63091"/>
    <w:rsid w:val="00A63311"/>
    <w:rsid w:val="00A6360E"/>
    <w:rsid w:val="00A637D3"/>
    <w:rsid w:val="00A63EB1"/>
    <w:rsid w:val="00A643F2"/>
    <w:rsid w:val="00A65049"/>
    <w:rsid w:val="00A65436"/>
    <w:rsid w:val="00A66C80"/>
    <w:rsid w:val="00A67518"/>
    <w:rsid w:val="00A7030A"/>
    <w:rsid w:val="00A7065D"/>
    <w:rsid w:val="00A7095D"/>
    <w:rsid w:val="00A70BAC"/>
    <w:rsid w:val="00A718A6"/>
    <w:rsid w:val="00A71C10"/>
    <w:rsid w:val="00A71D8E"/>
    <w:rsid w:val="00A7243C"/>
    <w:rsid w:val="00A72456"/>
    <w:rsid w:val="00A72943"/>
    <w:rsid w:val="00A72D1E"/>
    <w:rsid w:val="00A73E64"/>
    <w:rsid w:val="00A7520C"/>
    <w:rsid w:val="00A75365"/>
    <w:rsid w:val="00A753D5"/>
    <w:rsid w:val="00A75F56"/>
    <w:rsid w:val="00A7669C"/>
    <w:rsid w:val="00A76DC7"/>
    <w:rsid w:val="00A8131C"/>
    <w:rsid w:val="00A8145B"/>
    <w:rsid w:val="00A8163A"/>
    <w:rsid w:val="00A82A8C"/>
    <w:rsid w:val="00A8312D"/>
    <w:rsid w:val="00A8406C"/>
    <w:rsid w:val="00A844ED"/>
    <w:rsid w:val="00A84D08"/>
    <w:rsid w:val="00A84E33"/>
    <w:rsid w:val="00A84ED7"/>
    <w:rsid w:val="00A85BCB"/>
    <w:rsid w:val="00A86494"/>
    <w:rsid w:val="00A8655F"/>
    <w:rsid w:val="00A865B7"/>
    <w:rsid w:val="00A87D13"/>
    <w:rsid w:val="00A87DCD"/>
    <w:rsid w:val="00A90F49"/>
    <w:rsid w:val="00A914AC"/>
    <w:rsid w:val="00A91705"/>
    <w:rsid w:val="00A92F39"/>
    <w:rsid w:val="00A94203"/>
    <w:rsid w:val="00A95087"/>
    <w:rsid w:val="00A95541"/>
    <w:rsid w:val="00A96504"/>
    <w:rsid w:val="00A976EF"/>
    <w:rsid w:val="00A977D2"/>
    <w:rsid w:val="00AA1CD0"/>
    <w:rsid w:val="00AA3E16"/>
    <w:rsid w:val="00AA4DB1"/>
    <w:rsid w:val="00AA61CD"/>
    <w:rsid w:val="00AA6234"/>
    <w:rsid w:val="00AA6AC8"/>
    <w:rsid w:val="00AA7BB6"/>
    <w:rsid w:val="00AA7C42"/>
    <w:rsid w:val="00AB1B89"/>
    <w:rsid w:val="00AB4E74"/>
    <w:rsid w:val="00AB5E17"/>
    <w:rsid w:val="00AB6C60"/>
    <w:rsid w:val="00AC04BD"/>
    <w:rsid w:val="00AC068F"/>
    <w:rsid w:val="00AC0AB0"/>
    <w:rsid w:val="00AC194A"/>
    <w:rsid w:val="00AC2352"/>
    <w:rsid w:val="00AC2F59"/>
    <w:rsid w:val="00AC33F0"/>
    <w:rsid w:val="00AC424D"/>
    <w:rsid w:val="00AC4481"/>
    <w:rsid w:val="00AC54CB"/>
    <w:rsid w:val="00AC5C43"/>
    <w:rsid w:val="00AC5FE8"/>
    <w:rsid w:val="00AC643F"/>
    <w:rsid w:val="00AC683B"/>
    <w:rsid w:val="00AC7017"/>
    <w:rsid w:val="00AC778B"/>
    <w:rsid w:val="00AD09AC"/>
    <w:rsid w:val="00AD0BFB"/>
    <w:rsid w:val="00AD100A"/>
    <w:rsid w:val="00AD3597"/>
    <w:rsid w:val="00AD44F2"/>
    <w:rsid w:val="00AD5130"/>
    <w:rsid w:val="00AD6688"/>
    <w:rsid w:val="00AD6DE4"/>
    <w:rsid w:val="00AD70B5"/>
    <w:rsid w:val="00AE0528"/>
    <w:rsid w:val="00AE0554"/>
    <w:rsid w:val="00AE0A9F"/>
    <w:rsid w:val="00AE2C63"/>
    <w:rsid w:val="00AE4125"/>
    <w:rsid w:val="00AE55CA"/>
    <w:rsid w:val="00AE59B0"/>
    <w:rsid w:val="00AE5F79"/>
    <w:rsid w:val="00AE6D06"/>
    <w:rsid w:val="00AE7FA1"/>
    <w:rsid w:val="00AF019A"/>
    <w:rsid w:val="00AF0826"/>
    <w:rsid w:val="00AF10C0"/>
    <w:rsid w:val="00AF11A7"/>
    <w:rsid w:val="00AF17C7"/>
    <w:rsid w:val="00AF3549"/>
    <w:rsid w:val="00AF4200"/>
    <w:rsid w:val="00AF436F"/>
    <w:rsid w:val="00AF4668"/>
    <w:rsid w:val="00AF494F"/>
    <w:rsid w:val="00AF4CC8"/>
    <w:rsid w:val="00AF6041"/>
    <w:rsid w:val="00AF787A"/>
    <w:rsid w:val="00AF7C06"/>
    <w:rsid w:val="00B00668"/>
    <w:rsid w:val="00B00D93"/>
    <w:rsid w:val="00B03D6B"/>
    <w:rsid w:val="00B03DF5"/>
    <w:rsid w:val="00B04918"/>
    <w:rsid w:val="00B04E03"/>
    <w:rsid w:val="00B05F16"/>
    <w:rsid w:val="00B06763"/>
    <w:rsid w:val="00B069BE"/>
    <w:rsid w:val="00B06F7E"/>
    <w:rsid w:val="00B108A5"/>
    <w:rsid w:val="00B114B1"/>
    <w:rsid w:val="00B11604"/>
    <w:rsid w:val="00B121D1"/>
    <w:rsid w:val="00B1294B"/>
    <w:rsid w:val="00B12E66"/>
    <w:rsid w:val="00B1337E"/>
    <w:rsid w:val="00B14F76"/>
    <w:rsid w:val="00B1517F"/>
    <w:rsid w:val="00B15869"/>
    <w:rsid w:val="00B15CF0"/>
    <w:rsid w:val="00B16DD8"/>
    <w:rsid w:val="00B178FC"/>
    <w:rsid w:val="00B204D6"/>
    <w:rsid w:val="00B20E34"/>
    <w:rsid w:val="00B213AB"/>
    <w:rsid w:val="00B215C8"/>
    <w:rsid w:val="00B221A2"/>
    <w:rsid w:val="00B22539"/>
    <w:rsid w:val="00B22E6C"/>
    <w:rsid w:val="00B23717"/>
    <w:rsid w:val="00B23F22"/>
    <w:rsid w:val="00B26ADA"/>
    <w:rsid w:val="00B2707B"/>
    <w:rsid w:val="00B30506"/>
    <w:rsid w:val="00B31555"/>
    <w:rsid w:val="00B3215A"/>
    <w:rsid w:val="00B32845"/>
    <w:rsid w:val="00B32EAA"/>
    <w:rsid w:val="00B3377F"/>
    <w:rsid w:val="00B33B28"/>
    <w:rsid w:val="00B3541F"/>
    <w:rsid w:val="00B36B7B"/>
    <w:rsid w:val="00B374A1"/>
    <w:rsid w:val="00B400C5"/>
    <w:rsid w:val="00B4294F"/>
    <w:rsid w:val="00B43879"/>
    <w:rsid w:val="00B43982"/>
    <w:rsid w:val="00B44791"/>
    <w:rsid w:val="00B44B80"/>
    <w:rsid w:val="00B44CC4"/>
    <w:rsid w:val="00B47322"/>
    <w:rsid w:val="00B47E0A"/>
    <w:rsid w:val="00B50A29"/>
    <w:rsid w:val="00B511B5"/>
    <w:rsid w:val="00B51ED7"/>
    <w:rsid w:val="00B5328A"/>
    <w:rsid w:val="00B54B74"/>
    <w:rsid w:val="00B552E5"/>
    <w:rsid w:val="00B554B7"/>
    <w:rsid w:val="00B56197"/>
    <w:rsid w:val="00B565F4"/>
    <w:rsid w:val="00B57D7A"/>
    <w:rsid w:val="00B605A8"/>
    <w:rsid w:val="00B60805"/>
    <w:rsid w:val="00B608AD"/>
    <w:rsid w:val="00B61B7F"/>
    <w:rsid w:val="00B61DFF"/>
    <w:rsid w:val="00B62787"/>
    <w:rsid w:val="00B63D73"/>
    <w:rsid w:val="00B6437B"/>
    <w:rsid w:val="00B64EEE"/>
    <w:rsid w:val="00B6682C"/>
    <w:rsid w:val="00B67436"/>
    <w:rsid w:val="00B709EA"/>
    <w:rsid w:val="00B70CA5"/>
    <w:rsid w:val="00B723BE"/>
    <w:rsid w:val="00B73105"/>
    <w:rsid w:val="00B73554"/>
    <w:rsid w:val="00B73E62"/>
    <w:rsid w:val="00B750E8"/>
    <w:rsid w:val="00B75AA5"/>
    <w:rsid w:val="00B77946"/>
    <w:rsid w:val="00B77ABD"/>
    <w:rsid w:val="00B80779"/>
    <w:rsid w:val="00B81556"/>
    <w:rsid w:val="00B816A0"/>
    <w:rsid w:val="00B81CE5"/>
    <w:rsid w:val="00B82382"/>
    <w:rsid w:val="00B82705"/>
    <w:rsid w:val="00B83430"/>
    <w:rsid w:val="00B83D0D"/>
    <w:rsid w:val="00B83EEE"/>
    <w:rsid w:val="00B84BAC"/>
    <w:rsid w:val="00B859D3"/>
    <w:rsid w:val="00B86286"/>
    <w:rsid w:val="00B86CA8"/>
    <w:rsid w:val="00B87586"/>
    <w:rsid w:val="00B9047C"/>
    <w:rsid w:val="00B912E7"/>
    <w:rsid w:val="00B919DE"/>
    <w:rsid w:val="00B91A7D"/>
    <w:rsid w:val="00B91CAA"/>
    <w:rsid w:val="00B92219"/>
    <w:rsid w:val="00B9240C"/>
    <w:rsid w:val="00B939D9"/>
    <w:rsid w:val="00B9541E"/>
    <w:rsid w:val="00B96928"/>
    <w:rsid w:val="00B97612"/>
    <w:rsid w:val="00BA117B"/>
    <w:rsid w:val="00BA1784"/>
    <w:rsid w:val="00BA26EE"/>
    <w:rsid w:val="00BA2712"/>
    <w:rsid w:val="00BA2D8B"/>
    <w:rsid w:val="00BA2E26"/>
    <w:rsid w:val="00BA3029"/>
    <w:rsid w:val="00BA335D"/>
    <w:rsid w:val="00BA3820"/>
    <w:rsid w:val="00BA3A72"/>
    <w:rsid w:val="00BA3BF4"/>
    <w:rsid w:val="00BA3F98"/>
    <w:rsid w:val="00BA476B"/>
    <w:rsid w:val="00BA4B45"/>
    <w:rsid w:val="00BA57E2"/>
    <w:rsid w:val="00BA59B2"/>
    <w:rsid w:val="00BA73C3"/>
    <w:rsid w:val="00BA74F5"/>
    <w:rsid w:val="00BB08D2"/>
    <w:rsid w:val="00BB1718"/>
    <w:rsid w:val="00BB179D"/>
    <w:rsid w:val="00BB2606"/>
    <w:rsid w:val="00BB26E0"/>
    <w:rsid w:val="00BB4CD6"/>
    <w:rsid w:val="00BB7214"/>
    <w:rsid w:val="00BB7B72"/>
    <w:rsid w:val="00BB7F7F"/>
    <w:rsid w:val="00BC0042"/>
    <w:rsid w:val="00BC0AD5"/>
    <w:rsid w:val="00BC11D0"/>
    <w:rsid w:val="00BC1B2A"/>
    <w:rsid w:val="00BC2B40"/>
    <w:rsid w:val="00BC2FBE"/>
    <w:rsid w:val="00BC3C97"/>
    <w:rsid w:val="00BC3FCA"/>
    <w:rsid w:val="00BC5D25"/>
    <w:rsid w:val="00BC6D66"/>
    <w:rsid w:val="00BC789A"/>
    <w:rsid w:val="00BC7CA8"/>
    <w:rsid w:val="00BC7D9B"/>
    <w:rsid w:val="00BC7F2D"/>
    <w:rsid w:val="00BD0396"/>
    <w:rsid w:val="00BD0ACF"/>
    <w:rsid w:val="00BD0F8A"/>
    <w:rsid w:val="00BD384B"/>
    <w:rsid w:val="00BD3DD2"/>
    <w:rsid w:val="00BD5D61"/>
    <w:rsid w:val="00BD5DD1"/>
    <w:rsid w:val="00BD66DC"/>
    <w:rsid w:val="00BD7268"/>
    <w:rsid w:val="00BD7C54"/>
    <w:rsid w:val="00BE0947"/>
    <w:rsid w:val="00BE1EBE"/>
    <w:rsid w:val="00BE1ED6"/>
    <w:rsid w:val="00BE2686"/>
    <w:rsid w:val="00BE398E"/>
    <w:rsid w:val="00BE4F04"/>
    <w:rsid w:val="00BE52D5"/>
    <w:rsid w:val="00BE5C68"/>
    <w:rsid w:val="00BE6B26"/>
    <w:rsid w:val="00BE73BD"/>
    <w:rsid w:val="00BF0983"/>
    <w:rsid w:val="00BF103F"/>
    <w:rsid w:val="00BF12A1"/>
    <w:rsid w:val="00BF16D3"/>
    <w:rsid w:val="00BF2CEC"/>
    <w:rsid w:val="00BF3152"/>
    <w:rsid w:val="00BF3197"/>
    <w:rsid w:val="00BF3C21"/>
    <w:rsid w:val="00BF3E77"/>
    <w:rsid w:val="00BF512B"/>
    <w:rsid w:val="00BF552D"/>
    <w:rsid w:val="00BF5AC3"/>
    <w:rsid w:val="00C00014"/>
    <w:rsid w:val="00C001FC"/>
    <w:rsid w:val="00C002B6"/>
    <w:rsid w:val="00C00981"/>
    <w:rsid w:val="00C01645"/>
    <w:rsid w:val="00C0171B"/>
    <w:rsid w:val="00C0216F"/>
    <w:rsid w:val="00C032E9"/>
    <w:rsid w:val="00C03DC5"/>
    <w:rsid w:val="00C046DB"/>
    <w:rsid w:val="00C0489E"/>
    <w:rsid w:val="00C06939"/>
    <w:rsid w:val="00C075B4"/>
    <w:rsid w:val="00C109F3"/>
    <w:rsid w:val="00C117A8"/>
    <w:rsid w:val="00C11838"/>
    <w:rsid w:val="00C124F8"/>
    <w:rsid w:val="00C129AD"/>
    <w:rsid w:val="00C12C6A"/>
    <w:rsid w:val="00C14707"/>
    <w:rsid w:val="00C163B0"/>
    <w:rsid w:val="00C166F3"/>
    <w:rsid w:val="00C178FD"/>
    <w:rsid w:val="00C17F19"/>
    <w:rsid w:val="00C2151A"/>
    <w:rsid w:val="00C21BE5"/>
    <w:rsid w:val="00C22F88"/>
    <w:rsid w:val="00C23231"/>
    <w:rsid w:val="00C2342E"/>
    <w:rsid w:val="00C236A7"/>
    <w:rsid w:val="00C24727"/>
    <w:rsid w:val="00C24A98"/>
    <w:rsid w:val="00C25E5D"/>
    <w:rsid w:val="00C25FA7"/>
    <w:rsid w:val="00C2731E"/>
    <w:rsid w:val="00C27D57"/>
    <w:rsid w:val="00C301E2"/>
    <w:rsid w:val="00C30BE8"/>
    <w:rsid w:val="00C30C3B"/>
    <w:rsid w:val="00C321C0"/>
    <w:rsid w:val="00C34061"/>
    <w:rsid w:val="00C34323"/>
    <w:rsid w:val="00C355F0"/>
    <w:rsid w:val="00C358EB"/>
    <w:rsid w:val="00C36009"/>
    <w:rsid w:val="00C36ECE"/>
    <w:rsid w:val="00C40994"/>
    <w:rsid w:val="00C40E04"/>
    <w:rsid w:val="00C411FA"/>
    <w:rsid w:val="00C4189F"/>
    <w:rsid w:val="00C41DF4"/>
    <w:rsid w:val="00C42074"/>
    <w:rsid w:val="00C42208"/>
    <w:rsid w:val="00C42954"/>
    <w:rsid w:val="00C44091"/>
    <w:rsid w:val="00C448E6"/>
    <w:rsid w:val="00C44A0F"/>
    <w:rsid w:val="00C453A6"/>
    <w:rsid w:val="00C467D8"/>
    <w:rsid w:val="00C47B22"/>
    <w:rsid w:val="00C47CFF"/>
    <w:rsid w:val="00C50B33"/>
    <w:rsid w:val="00C50E35"/>
    <w:rsid w:val="00C50F64"/>
    <w:rsid w:val="00C519FF"/>
    <w:rsid w:val="00C51EE9"/>
    <w:rsid w:val="00C52B76"/>
    <w:rsid w:val="00C53EB6"/>
    <w:rsid w:val="00C56820"/>
    <w:rsid w:val="00C56DB4"/>
    <w:rsid w:val="00C57327"/>
    <w:rsid w:val="00C5788A"/>
    <w:rsid w:val="00C605D4"/>
    <w:rsid w:val="00C611E1"/>
    <w:rsid w:val="00C612A7"/>
    <w:rsid w:val="00C625C7"/>
    <w:rsid w:val="00C62946"/>
    <w:rsid w:val="00C62F2B"/>
    <w:rsid w:val="00C6351F"/>
    <w:rsid w:val="00C64A12"/>
    <w:rsid w:val="00C64DCA"/>
    <w:rsid w:val="00C65164"/>
    <w:rsid w:val="00C66808"/>
    <w:rsid w:val="00C66C37"/>
    <w:rsid w:val="00C6710C"/>
    <w:rsid w:val="00C67BF5"/>
    <w:rsid w:val="00C704CD"/>
    <w:rsid w:val="00C714F5"/>
    <w:rsid w:val="00C7169D"/>
    <w:rsid w:val="00C7183D"/>
    <w:rsid w:val="00C71B63"/>
    <w:rsid w:val="00C7233C"/>
    <w:rsid w:val="00C7263E"/>
    <w:rsid w:val="00C72CF5"/>
    <w:rsid w:val="00C73063"/>
    <w:rsid w:val="00C735E7"/>
    <w:rsid w:val="00C74ECE"/>
    <w:rsid w:val="00C75A32"/>
    <w:rsid w:val="00C7618A"/>
    <w:rsid w:val="00C7695D"/>
    <w:rsid w:val="00C76FD0"/>
    <w:rsid w:val="00C770C0"/>
    <w:rsid w:val="00C80661"/>
    <w:rsid w:val="00C8087C"/>
    <w:rsid w:val="00C80F87"/>
    <w:rsid w:val="00C82898"/>
    <w:rsid w:val="00C82CBA"/>
    <w:rsid w:val="00C82D8F"/>
    <w:rsid w:val="00C84DA9"/>
    <w:rsid w:val="00C85BB6"/>
    <w:rsid w:val="00C869E7"/>
    <w:rsid w:val="00C87694"/>
    <w:rsid w:val="00C87C10"/>
    <w:rsid w:val="00C87EC3"/>
    <w:rsid w:val="00C9152A"/>
    <w:rsid w:val="00C92A88"/>
    <w:rsid w:val="00C92E12"/>
    <w:rsid w:val="00C93E2C"/>
    <w:rsid w:val="00C94344"/>
    <w:rsid w:val="00C9636E"/>
    <w:rsid w:val="00C966F5"/>
    <w:rsid w:val="00C96B08"/>
    <w:rsid w:val="00C97F1F"/>
    <w:rsid w:val="00C9AED5"/>
    <w:rsid w:val="00CA074C"/>
    <w:rsid w:val="00CA091D"/>
    <w:rsid w:val="00CA108F"/>
    <w:rsid w:val="00CA198E"/>
    <w:rsid w:val="00CA1DE8"/>
    <w:rsid w:val="00CA28B9"/>
    <w:rsid w:val="00CA4DBF"/>
    <w:rsid w:val="00CA51B2"/>
    <w:rsid w:val="00CA5EAB"/>
    <w:rsid w:val="00CA6FE9"/>
    <w:rsid w:val="00CA753C"/>
    <w:rsid w:val="00CA767F"/>
    <w:rsid w:val="00CB0C6D"/>
    <w:rsid w:val="00CB1455"/>
    <w:rsid w:val="00CB23F5"/>
    <w:rsid w:val="00CB3720"/>
    <w:rsid w:val="00CB4A17"/>
    <w:rsid w:val="00CB5345"/>
    <w:rsid w:val="00CB5E93"/>
    <w:rsid w:val="00CB62AF"/>
    <w:rsid w:val="00CB769C"/>
    <w:rsid w:val="00CB7DA8"/>
    <w:rsid w:val="00CC04F3"/>
    <w:rsid w:val="00CC3395"/>
    <w:rsid w:val="00CC36FA"/>
    <w:rsid w:val="00CC3852"/>
    <w:rsid w:val="00CC3D22"/>
    <w:rsid w:val="00CC4DA2"/>
    <w:rsid w:val="00CC5254"/>
    <w:rsid w:val="00CC5DB0"/>
    <w:rsid w:val="00CC685B"/>
    <w:rsid w:val="00CD0938"/>
    <w:rsid w:val="00CD0A29"/>
    <w:rsid w:val="00CD0C2B"/>
    <w:rsid w:val="00CD10CA"/>
    <w:rsid w:val="00CD2079"/>
    <w:rsid w:val="00CD3BCC"/>
    <w:rsid w:val="00CD5533"/>
    <w:rsid w:val="00CD668B"/>
    <w:rsid w:val="00CD6839"/>
    <w:rsid w:val="00CD783D"/>
    <w:rsid w:val="00CE15DC"/>
    <w:rsid w:val="00CE1C84"/>
    <w:rsid w:val="00CE2122"/>
    <w:rsid w:val="00CE2148"/>
    <w:rsid w:val="00CE2C6D"/>
    <w:rsid w:val="00CE316F"/>
    <w:rsid w:val="00CE357C"/>
    <w:rsid w:val="00CE401A"/>
    <w:rsid w:val="00CE5E4E"/>
    <w:rsid w:val="00CE70D7"/>
    <w:rsid w:val="00CF0209"/>
    <w:rsid w:val="00CF060F"/>
    <w:rsid w:val="00CF061E"/>
    <w:rsid w:val="00CF14E7"/>
    <w:rsid w:val="00CF1DC1"/>
    <w:rsid w:val="00CF2C2C"/>
    <w:rsid w:val="00CF34EB"/>
    <w:rsid w:val="00CF3F61"/>
    <w:rsid w:val="00CF4759"/>
    <w:rsid w:val="00CF4969"/>
    <w:rsid w:val="00CF5564"/>
    <w:rsid w:val="00CF68DD"/>
    <w:rsid w:val="00D00ECD"/>
    <w:rsid w:val="00D015EC"/>
    <w:rsid w:val="00D02CFB"/>
    <w:rsid w:val="00D03507"/>
    <w:rsid w:val="00D035DA"/>
    <w:rsid w:val="00D04EF9"/>
    <w:rsid w:val="00D056C7"/>
    <w:rsid w:val="00D05873"/>
    <w:rsid w:val="00D05E50"/>
    <w:rsid w:val="00D07A7E"/>
    <w:rsid w:val="00D10176"/>
    <w:rsid w:val="00D1019B"/>
    <w:rsid w:val="00D101B3"/>
    <w:rsid w:val="00D10292"/>
    <w:rsid w:val="00D10A9E"/>
    <w:rsid w:val="00D117BD"/>
    <w:rsid w:val="00D11BFD"/>
    <w:rsid w:val="00D1297D"/>
    <w:rsid w:val="00D12D6E"/>
    <w:rsid w:val="00D13235"/>
    <w:rsid w:val="00D16458"/>
    <w:rsid w:val="00D16613"/>
    <w:rsid w:val="00D1714E"/>
    <w:rsid w:val="00D204E9"/>
    <w:rsid w:val="00D20712"/>
    <w:rsid w:val="00D226A1"/>
    <w:rsid w:val="00D2457F"/>
    <w:rsid w:val="00D25A75"/>
    <w:rsid w:val="00D264B0"/>
    <w:rsid w:val="00D273E6"/>
    <w:rsid w:val="00D275D3"/>
    <w:rsid w:val="00D2770E"/>
    <w:rsid w:val="00D27CAE"/>
    <w:rsid w:val="00D30830"/>
    <w:rsid w:val="00D30B09"/>
    <w:rsid w:val="00D3103E"/>
    <w:rsid w:val="00D313DC"/>
    <w:rsid w:val="00D327B0"/>
    <w:rsid w:val="00D33A4F"/>
    <w:rsid w:val="00D33CF3"/>
    <w:rsid w:val="00D33D8D"/>
    <w:rsid w:val="00D33E1D"/>
    <w:rsid w:val="00D372F9"/>
    <w:rsid w:val="00D402FB"/>
    <w:rsid w:val="00D41080"/>
    <w:rsid w:val="00D411F7"/>
    <w:rsid w:val="00D4151C"/>
    <w:rsid w:val="00D42B58"/>
    <w:rsid w:val="00D42E69"/>
    <w:rsid w:val="00D43429"/>
    <w:rsid w:val="00D446F6"/>
    <w:rsid w:val="00D4631E"/>
    <w:rsid w:val="00D469A9"/>
    <w:rsid w:val="00D478F1"/>
    <w:rsid w:val="00D47DAB"/>
    <w:rsid w:val="00D5115F"/>
    <w:rsid w:val="00D52486"/>
    <w:rsid w:val="00D52C79"/>
    <w:rsid w:val="00D52E39"/>
    <w:rsid w:val="00D533D6"/>
    <w:rsid w:val="00D537EA"/>
    <w:rsid w:val="00D53AA6"/>
    <w:rsid w:val="00D549A0"/>
    <w:rsid w:val="00D549C4"/>
    <w:rsid w:val="00D54FCB"/>
    <w:rsid w:val="00D55843"/>
    <w:rsid w:val="00D55EB2"/>
    <w:rsid w:val="00D566EA"/>
    <w:rsid w:val="00D567EB"/>
    <w:rsid w:val="00D5683B"/>
    <w:rsid w:val="00D56EC8"/>
    <w:rsid w:val="00D57B27"/>
    <w:rsid w:val="00D608E1"/>
    <w:rsid w:val="00D61A81"/>
    <w:rsid w:val="00D62934"/>
    <w:rsid w:val="00D6306A"/>
    <w:rsid w:val="00D631DE"/>
    <w:rsid w:val="00D65E66"/>
    <w:rsid w:val="00D67884"/>
    <w:rsid w:val="00D67D9A"/>
    <w:rsid w:val="00D70E16"/>
    <w:rsid w:val="00D714B5"/>
    <w:rsid w:val="00D72094"/>
    <w:rsid w:val="00D722EF"/>
    <w:rsid w:val="00D72D89"/>
    <w:rsid w:val="00D748A8"/>
    <w:rsid w:val="00D75A27"/>
    <w:rsid w:val="00D76454"/>
    <w:rsid w:val="00D768D1"/>
    <w:rsid w:val="00D800F7"/>
    <w:rsid w:val="00D80AD4"/>
    <w:rsid w:val="00D82758"/>
    <w:rsid w:val="00D82B09"/>
    <w:rsid w:val="00D82B41"/>
    <w:rsid w:val="00D835FD"/>
    <w:rsid w:val="00D842ED"/>
    <w:rsid w:val="00D85006"/>
    <w:rsid w:val="00D85603"/>
    <w:rsid w:val="00D85EBE"/>
    <w:rsid w:val="00D85FEC"/>
    <w:rsid w:val="00D8667C"/>
    <w:rsid w:val="00D86AB9"/>
    <w:rsid w:val="00D86BEA"/>
    <w:rsid w:val="00D87171"/>
    <w:rsid w:val="00D903AA"/>
    <w:rsid w:val="00D90637"/>
    <w:rsid w:val="00D90824"/>
    <w:rsid w:val="00D90E0F"/>
    <w:rsid w:val="00D91B06"/>
    <w:rsid w:val="00D91D8B"/>
    <w:rsid w:val="00D92374"/>
    <w:rsid w:val="00D93CB1"/>
    <w:rsid w:val="00D94D1B"/>
    <w:rsid w:val="00D952F4"/>
    <w:rsid w:val="00D96327"/>
    <w:rsid w:val="00D96595"/>
    <w:rsid w:val="00D96741"/>
    <w:rsid w:val="00D971AC"/>
    <w:rsid w:val="00DA06E6"/>
    <w:rsid w:val="00DA0EAB"/>
    <w:rsid w:val="00DA1153"/>
    <w:rsid w:val="00DA12DC"/>
    <w:rsid w:val="00DA14A4"/>
    <w:rsid w:val="00DA1B39"/>
    <w:rsid w:val="00DA1BCF"/>
    <w:rsid w:val="00DA4923"/>
    <w:rsid w:val="00DA4FF2"/>
    <w:rsid w:val="00DA589A"/>
    <w:rsid w:val="00DA6C0D"/>
    <w:rsid w:val="00DA7AFC"/>
    <w:rsid w:val="00DA7E4B"/>
    <w:rsid w:val="00DB0385"/>
    <w:rsid w:val="00DB1853"/>
    <w:rsid w:val="00DB21A1"/>
    <w:rsid w:val="00DB2918"/>
    <w:rsid w:val="00DB2AA9"/>
    <w:rsid w:val="00DB4D93"/>
    <w:rsid w:val="00DB5BBB"/>
    <w:rsid w:val="00DB6094"/>
    <w:rsid w:val="00DB7673"/>
    <w:rsid w:val="00DC06AB"/>
    <w:rsid w:val="00DC1310"/>
    <w:rsid w:val="00DC13A4"/>
    <w:rsid w:val="00DC1605"/>
    <w:rsid w:val="00DC2AC7"/>
    <w:rsid w:val="00DC2C9D"/>
    <w:rsid w:val="00DC3811"/>
    <w:rsid w:val="00DC3AFD"/>
    <w:rsid w:val="00DC42DB"/>
    <w:rsid w:val="00DC647D"/>
    <w:rsid w:val="00DC684D"/>
    <w:rsid w:val="00DD0503"/>
    <w:rsid w:val="00DD0AA6"/>
    <w:rsid w:val="00DD1325"/>
    <w:rsid w:val="00DD15C7"/>
    <w:rsid w:val="00DD2050"/>
    <w:rsid w:val="00DD2778"/>
    <w:rsid w:val="00DD2C21"/>
    <w:rsid w:val="00DD2EF8"/>
    <w:rsid w:val="00DD2F79"/>
    <w:rsid w:val="00DD38E0"/>
    <w:rsid w:val="00DD3E20"/>
    <w:rsid w:val="00DD45F3"/>
    <w:rsid w:val="00DD4887"/>
    <w:rsid w:val="00DD629C"/>
    <w:rsid w:val="00DE03B2"/>
    <w:rsid w:val="00DE0F3E"/>
    <w:rsid w:val="00DE1437"/>
    <w:rsid w:val="00DE31B0"/>
    <w:rsid w:val="00DE39CF"/>
    <w:rsid w:val="00DE4EB2"/>
    <w:rsid w:val="00DE5B19"/>
    <w:rsid w:val="00DE6340"/>
    <w:rsid w:val="00DE6E42"/>
    <w:rsid w:val="00DF2BD6"/>
    <w:rsid w:val="00DF5232"/>
    <w:rsid w:val="00DF602A"/>
    <w:rsid w:val="00DF6160"/>
    <w:rsid w:val="00DF6355"/>
    <w:rsid w:val="00DF6BB0"/>
    <w:rsid w:val="00DF6F5B"/>
    <w:rsid w:val="00DF7049"/>
    <w:rsid w:val="00DF718B"/>
    <w:rsid w:val="00DF7311"/>
    <w:rsid w:val="00DF7916"/>
    <w:rsid w:val="00E00606"/>
    <w:rsid w:val="00E00DF8"/>
    <w:rsid w:val="00E036FD"/>
    <w:rsid w:val="00E0618F"/>
    <w:rsid w:val="00E06364"/>
    <w:rsid w:val="00E07895"/>
    <w:rsid w:val="00E10D3C"/>
    <w:rsid w:val="00E117AF"/>
    <w:rsid w:val="00E138C1"/>
    <w:rsid w:val="00E14E4D"/>
    <w:rsid w:val="00E1677D"/>
    <w:rsid w:val="00E17973"/>
    <w:rsid w:val="00E2025B"/>
    <w:rsid w:val="00E208CE"/>
    <w:rsid w:val="00E213C8"/>
    <w:rsid w:val="00E24EF1"/>
    <w:rsid w:val="00E2588E"/>
    <w:rsid w:val="00E25A8D"/>
    <w:rsid w:val="00E25FC2"/>
    <w:rsid w:val="00E2711C"/>
    <w:rsid w:val="00E2748E"/>
    <w:rsid w:val="00E27600"/>
    <w:rsid w:val="00E27A56"/>
    <w:rsid w:val="00E27BFE"/>
    <w:rsid w:val="00E301EC"/>
    <w:rsid w:val="00E314F9"/>
    <w:rsid w:val="00E31A83"/>
    <w:rsid w:val="00E32547"/>
    <w:rsid w:val="00E32565"/>
    <w:rsid w:val="00E33472"/>
    <w:rsid w:val="00E344BB"/>
    <w:rsid w:val="00E36178"/>
    <w:rsid w:val="00E37739"/>
    <w:rsid w:val="00E37D89"/>
    <w:rsid w:val="00E4065A"/>
    <w:rsid w:val="00E4175B"/>
    <w:rsid w:val="00E41766"/>
    <w:rsid w:val="00E41B99"/>
    <w:rsid w:val="00E43851"/>
    <w:rsid w:val="00E439AF"/>
    <w:rsid w:val="00E44B2E"/>
    <w:rsid w:val="00E47232"/>
    <w:rsid w:val="00E5026F"/>
    <w:rsid w:val="00E503D2"/>
    <w:rsid w:val="00E5052E"/>
    <w:rsid w:val="00E506FA"/>
    <w:rsid w:val="00E51194"/>
    <w:rsid w:val="00E55375"/>
    <w:rsid w:val="00E55437"/>
    <w:rsid w:val="00E558CA"/>
    <w:rsid w:val="00E57290"/>
    <w:rsid w:val="00E573DD"/>
    <w:rsid w:val="00E57493"/>
    <w:rsid w:val="00E60478"/>
    <w:rsid w:val="00E62205"/>
    <w:rsid w:val="00E649C1"/>
    <w:rsid w:val="00E64E13"/>
    <w:rsid w:val="00E65035"/>
    <w:rsid w:val="00E70423"/>
    <w:rsid w:val="00E71A6C"/>
    <w:rsid w:val="00E74024"/>
    <w:rsid w:val="00E74217"/>
    <w:rsid w:val="00E74C2B"/>
    <w:rsid w:val="00E7534F"/>
    <w:rsid w:val="00E7591D"/>
    <w:rsid w:val="00E75F98"/>
    <w:rsid w:val="00E77D94"/>
    <w:rsid w:val="00E802CE"/>
    <w:rsid w:val="00E8254B"/>
    <w:rsid w:val="00E83EFC"/>
    <w:rsid w:val="00E8431E"/>
    <w:rsid w:val="00E84392"/>
    <w:rsid w:val="00E8468A"/>
    <w:rsid w:val="00E856A6"/>
    <w:rsid w:val="00E86491"/>
    <w:rsid w:val="00E869D0"/>
    <w:rsid w:val="00E86AEF"/>
    <w:rsid w:val="00E87854"/>
    <w:rsid w:val="00E907D1"/>
    <w:rsid w:val="00E9087C"/>
    <w:rsid w:val="00E90F42"/>
    <w:rsid w:val="00E91313"/>
    <w:rsid w:val="00E91752"/>
    <w:rsid w:val="00E927F4"/>
    <w:rsid w:val="00E92A9F"/>
    <w:rsid w:val="00E93BE3"/>
    <w:rsid w:val="00E93E43"/>
    <w:rsid w:val="00E94478"/>
    <w:rsid w:val="00E94854"/>
    <w:rsid w:val="00E951FC"/>
    <w:rsid w:val="00E95746"/>
    <w:rsid w:val="00E95DB1"/>
    <w:rsid w:val="00E95FA9"/>
    <w:rsid w:val="00E96A0B"/>
    <w:rsid w:val="00E97F9B"/>
    <w:rsid w:val="00E9937B"/>
    <w:rsid w:val="00EA17CC"/>
    <w:rsid w:val="00EA1910"/>
    <w:rsid w:val="00EA2102"/>
    <w:rsid w:val="00EA2A27"/>
    <w:rsid w:val="00EA316B"/>
    <w:rsid w:val="00EA39BC"/>
    <w:rsid w:val="00EA4406"/>
    <w:rsid w:val="00EA5748"/>
    <w:rsid w:val="00EA5F03"/>
    <w:rsid w:val="00EA6161"/>
    <w:rsid w:val="00EA6D68"/>
    <w:rsid w:val="00EA7A21"/>
    <w:rsid w:val="00EA7D4F"/>
    <w:rsid w:val="00EB16F7"/>
    <w:rsid w:val="00EB1EA9"/>
    <w:rsid w:val="00EB26DF"/>
    <w:rsid w:val="00EB2B0E"/>
    <w:rsid w:val="00EB3795"/>
    <w:rsid w:val="00EB4FA5"/>
    <w:rsid w:val="00EB5732"/>
    <w:rsid w:val="00EB5D0D"/>
    <w:rsid w:val="00EB5EB9"/>
    <w:rsid w:val="00EB64DF"/>
    <w:rsid w:val="00EB6586"/>
    <w:rsid w:val="00EB7BB0"/>
    <w:rsid w:val="00EC240B"/>
    <w:rsid w:val="00EC245E"/>
    <w:rsid w:val="00EC245F"/>
    <w:rsid w:val="00EC43E0"/>
    <w:rsid w:val="00EC4515"/>
    <w:rsid w:val="00EC504C"/>
    <w:rsid w:val="00EC5931"/>
    <w:rsid w:val="00EC5B03"/>
    <w:rsid w:val="00EC61B3"/>
    <w:rsid w:val="00EC6A58"/>
    <w:rsid w:val="00EC6B4D"/>
    <w:rsid w:val="00EC6B6A"/>
    <w:rsid w:val="00EC6D1D"/>
    <w:rsid w:val="00EC6E2F"/>
    <w:rsid w:val="00ED1D45"/>
    <w:rsid w:val="00ED239E"/>
    <w:rsid w:val="00ED308A"/>
    <w:rsid w:val="00ED5711"/>
    <w:rsid w:val="00ED588E"/>
    <w:rsid w:val="00EE0E5D"/>
    <w:rsid w:val="00EE13DC"/>
    <w:rsid w:val="00EE193B"/>
    <w:rsid w:val="00EE1C27"/>
    <w:rsid w:val="00EE1E37"/>
    <w:rsid w:val="00EE231E"/>
    <w:rsid w:val="00EE35BB"/>
    <w:rsid w:val="00EE43BE"/>
    <w:rsid w:val="00EE5118"/>
    <w:rsid w:val="00EE5B21"/>
    <w:rsid w:val="00EE5D8C"/>
    <w:rsid w:val="00EE7984"/>
    <w:rsid w:val="00EF0B42"/>
    <w:rsid w:val="00EF1F79"/>
    <w:rsid w:val="00EF2440"/>
    <w:rsid w:val="00EF3B72"/>
    <w:rsid w:val="00EF6916"/>
    <w:rsid w:val="00F006E4"/>
    <w:rsid w:val="00F012CE"/>
    <w:rsid w:val="00F0167C"/>
    <w:rsid w:val="00F023C4"/>
    <w:rsid w:val="00F0358F"/>
    <w:rsid w:val="00F0385E"/>
    <w:rsid w:val="00F03B05"/>
    <w:rsid w:val="00F03CB8"/>
    <w:rsid w:val="00F05564"/>
    <w:rsid w:val="00F05C5E"/>
    <w:rsid w:val="00F10B13"/>
    <w:rsid w:val="00F10F8A"/>
    <w:rsid w:val="00F123FB"/>
    <w:rsid w:val="00F1274F"/>
    <w:rsid w:val="00F1380E"/>
    <w:rsid w:val="00F13890"/>
    <w:rsid w:val="00F14AE5"/>
    <w:rsid w:val="00F15D76"/>
    <w:rsid w:val="00F16520"/>
    <w:rsid w:val="00F16CAD"/>
    <w:rsid w:val="00F17FE8"/>
    <w:rsid w:val="00F2079B"/>
    <w:rsid w:val="00F21536"/>
    <w:rsid w:val="00F21842"/>
    <w:rsid w:val="00F21C2E"/>
    <w:rsid w:val="00F2227B"/>
    <w:rsid w:val="00F22437"/>
    <w:rsid w:val="00F22F1A"/>
    <w:rsid w:val="00F24628"/>
    <w:rsid w:val="00F24C7F"/>
    <w:rsid w:val="00F25040"/>
    <w:rsid w:val="00F2606C"/>
    <w:rsid w:val="00F263A0"/>
    <w:rsid w:val="00F26658"/>
    <w:rsid w:val="00F270C7"/>
    <w:rsid w:val="00F27118"/>
    <w:rsid w:val="00F27163"/>
    <w:rsid w:val="00F2718E"/>
    <w:rsid w:val="00F27D48"/>
    <w:rsid w:val="00F301D7"/>
    <w:rsid w:val="00F315FB"/>
    <w:rsid w:val="00F32B2A"/>
    <w:rsid w:val="00F340BB"/>
    <w:rsid w:val="00F342B3"/>
    <w:rsid w:val="00F34730"/>
    <w:rsid w:val="00F348BB"/>
    <w:rsid w:val="00F35C7E"/>
    <w:rsid w:val="00F35D73"/>
    <w:rsid w:val="00F3671B"/>
    <w:rsid w:val="00F40510"/>
    <w:rsid w:val="00F4168E"/>
    <w:rsid w:val="00F440DB"/>
    <w:rsid w:val="00F443A5"/>
    <w:rsid w:val="00F45177"/>
    <w:rsid w:val="00F465F8"/>
    <w:rsid w:val="00F475C3"/>
    <w:rsid w:val="00F47A22"/>
    <w:rsid w:val="00F50114"/>
    <w:rsid w:val="00F51587"/>
    <w:rsid w:val="00F52256"/>
    <w:rsid w:val="00F522F3"/>
    <w:rsid w:val="00F528D1"/>
    <w:rsid w:val="00F5301B"/>
    <w:rsid w:val="00F53CC9"/>
    <w:rsid w:val="00F5400B"/>
    <w:rsid w:val="00F545BC"/>
    <w:rsid w:val="00F55BA4"/>
    <w:rsid w:val="00F56233"/>
    <w:rsid w:val="00F56AA4"/>
    <w:rsid w:val="00F56E3F"/>
    <w:rsid w:val="00F5702B"/>
    <w:rsid w:val="00F57124"/>
    <w:rsid w:val="00F57AB9"/>
    <w:rsid w:val="00F57E3F"/>
    <w:rsid w:val="00F604E4"/>
    <w:rsid w:val="00F613DA"/>
    <w:rsid w:val="00F6206E"/>
    <w:rsid w:val="00F6274E"/>
    <w:rsid w:val="00F62925"/>
    <w:rsid w:val="00F63EE6"/>
    <w:rsid w:val="00F64941"/>
    <w:rsid w:val="00F64964"/>
    <w:rsid w:val="00F64D01"/>
    <w:rsid w:val="00F650F6"/>
    <w:rsid w:val="00F65BE9"/>
    <w:rsid w:val="00F65E26"/>
    <w:rsid w:val="00F65F64"/>
    <w:rsid w:val="00F66AE7"/>
    <w:rsid w:val="00F66EFE"/>
    <w:rsid w:val="00F6766F"/>
    <w:rsid w:val="00F70802"/>
    <w:rsid w:val="00F7126F"/>
    <w:rsid w:val="00F71791"/>
    <w:rsid w:val="00F71C7E"/>
    <w:rsid w:val="00F72C74"/>
    <w:rsid w:val="00F7329A"/>
    <w:rsid w:val="00F74007"/>
    <w:rsid w:val="00F7498B"/>
    <w:rsid w:val="00F7507F"/>
    <w:rsid w:val="00F75356"/>
    <w:rsid w:val="00F75B3A"/>
    <w:rsid w:val="00F76B43"/>
    <w:rsid w:val="00F77A6C"/>
    <w:rsid w:val="00F81347"/>
    <w:rsid w:val="00F81957"/>
    <w:rsid w:val="00F81C82"/>
    <w:rsid w:val="00F83679"/>
    <w:rsid w:val="00F83AE4"/>
    <w:rsid w:val="00F83CFB"/>
    <w:rsid w:val="00F852A5"/>
    <w:rsid w:val="00F8553B"/>
    <w:rsid w:val="00F86138"/>
    <w:rsid w:val="00F86DFE"/>
    <w:rsid w:val="00F876B6"/>
    <w:rsid w:val="00F878B6"/>
    <w:rsid w:val="00F87D44"/>
    <w:rsid w:val="00F90421"/>
    <w:rsid w:val="00F93025"/>
    <w:rsid w:val="00F932FF"/>
    <w:rsid w:val="00F94358"/>
    <w:rsid w:val="00F96756"/>
    <w:rsid w:val="00F96D99"/>
    <w:rsid w:val="00F97034"/>
    <w:rsid w:val="00F9794B"/>
    <w:rsid w:val="00FA03C4"/>
    <w:rsid w:val="00FA0AA3"/>
    <w:rsid w:val="00FA36C9"/>
    <w:rsid w:val="00FA4C5F"/>
    <w:rsid w:val="00FA6242"/>
    <w:rsid w:val="00FA6FD0"/>
    <w:rsid w:val="00FA796C"/>
    <w:rsid w:val="00FB0710"/>
    <w:rsid w:val="00FB07A6"/>
    <w:rsid w:val="00FB1668"/>
    <w:rsid w:val="00FB3927"/>
    <w:rsid w:val="00FB428E"/>
    <w:rsid w:val="00FB4655"/>
    <w:rsid w:val="00FB49CA"/>
    <w:rsid w:val="00FB4F1B"/>
    <w:rsid w:val="00FB5029"/>
    <w:rsid w:val="00FB5D4C"/>
    <w:rsid w:val="00FB65A3"/>
    <w:rsid w:val="00FB7EA8"/>
    <w:rsid w:val="00FC18A4"/>
    <w:rsid w:val="00FC1C9C"/>
    <w:rsid w:val="00FC1FCE"/>
    <w:rsid w:val="00FC284C"/>
    <w:rsid w:val="00FC34B1"/>
    <w:rsid w:val="00FC3ABE"/>
    <w:rsid w:val="00FC4B18"/>
    <w:rsid w:val="00FC4DCA"/>
    <w:rsid w:val="00FC4E6C"/>
    <w:rsid w:val="00FC51BD"/>
    <w:rsid w:val="00FC62BC"/>
    <w:rsid w:val="00FC69A6"/>
    <w:rsid w:val="00FD1D1C"/>
    <w:rsid w:val="00FD3303"/>
    <w:rsid w:val="00FD5129"/>
    <w:rsid w:val="00FD762F"/>
    <w:rsid w:val="00FE0430"/>
    <w:rsid w:val="00FE06E0"/>
    <w:rsid w:val="00FE1AE2"/>
    <w:rsid w:val="00FE219B"/>
    <w:rsid w:val="00FE2686"/>
    <w:rsid w:val="00FE3007"/>
    <w:rsid w:val="00FE3D0F"/>
    <w:rsid w:val="00FE4BD6"/>
    <w:rsid w:val="00FE7DEB"/>
    <w:rsid w:val="00FF0765"/>
    <w:rsid w:val="00FF0C77"/>
    <w:rsid w:val="00FF0D72"/>
    <w:rsid w:val="00FF19D2"/>
    <w:rsid w:val="00FF1A3E"/>
    <w:rsid w:val="00FF277C"/>
    <w:rsid w:val="00FF2C99"/>
    <w:rsid w:val="00FF3EA1"/>
    <w:rsid w:val="00FF425A"/>
    <w:rsid w:val="00FF44A5"/>
    <w:rsid w:val="00FF4A1D"/>
    <w:rsid w:val="00FF53D7"/>
    <w:rsid w:val="00FF5A30"/>
    <w:rsid w:val="01012B0F"/>
    <w:rsid w:val="01107F19"/>
    <w:rsid w:val="0182D7D6"/>
    <w:rsid w:val="01A8B1E1"/>
    <w:rsid w:val="01A9CF72"/>
    <w:rsid w:val="01B07485"/>
    <w:rsid w:val="01B2B510"/>
    <w:rsid w:val="01B986A5"/>
    <w:rsid w:val="01C2B3B6"/>
    <w:rsid w:val="01CFF255"/>
    <w:rsid w:val="01E28207"/>
    <w:rsid w:val="01FCFD6E"/>
    <w:rsid w:val="02001645"/>
    <w:rsid w:val="023001B5"/>
    <w:rsid w:val="023160BC"/>
    <w:rsid w:val="0267A867"/>
    <w:rsid w:val="027A50CC"/>
    <w:rsid w:val="027C8703"/>
    <w:rsid w:val="02993A6F"/>
    <w:rsid w:val="029C34D4"/>
    <w:rsid w:val="02A8A985"/>
    <w:rsid w:val="02B3C226"/>
    <w:rsid w:val="02C43744"/>
    <w:rsid w:val="02D38DFD"/>
    <w:rsid w:val="02F48015"/>
    <w:rsid w:val="030EF0D4"/>
    <w:rsid w:val="031364F6"/>
    <w:rsid w:val="031A8C48"/>
    <w:rsid w:val="03424A16"/>
    <w:rsid w:val="0342AE68"/>
    <w:rsid w:val="03830769"/>
    <w:rsid w:val="0390196C"/>
    <w:rsid w:val="03BA7A1D"/>
    <w:rsid w:val="03BDA39F"/>
    <w:rsid w:val="03CA0DA0"/>
    <w:rsid w:val="03DA42CB"/>
    <w:rsid w:val="03DAEF9B"/>
    <w:rsid w:val="03DB7B1F"/>
    <w:rsid w:val="03F53D48"/>
    <w:rsid w:val="03FADA4A"/>
    <w:rsid w:val="041181C5"/>
    <w:rsid w:val="04178E9F"/>
    <w:rsid w:val="041811AB"/>
    <w:rsid w:val="041CDE1C"/>
    <w:rsid w:val="041FFE8F"/>
    <w:rsid w:val="04225B4A"/>
    <w:rsid w:val="0425E07D"/>
    <w:rsid w:val="044B333A"/>
    <w:rsid w:val="045A02EC"/>
    <w:rsid w:val="0498BD40"/>
    <w:rsid w:val="04AF703D"/>
    <w:rsid w:val="04BB4890"/>
    <w:rsid w:val="04C49451"/>
    <w:rsid w:val="04D2F5D0"/>
    <w:rsid w:val="04DB0F9D"/>
    <w:rsid w:val="04F8AA03"/>
    <w:rsid w:val="0517F2D4"/>
    <w:rsid w:val="051A9D5B"/>
    <w:rsid w:val="052E8BA5"/>
    <w:rsid w:val="052FDFEE"/>
    <w:rsid w:val="05438FBD"/>
    <w:rsid w:val="0571A2D4"/>
    <w:rsid w:val="05758E0D"/>
    <w:rsid w:val="05A81D16"/>
    <w:rsid w:val="05BBCEF0"/>
    <w:rsid w:val="05CF3B94"/>
    <w:rsid w:val="05D01F19"/>
    <w:rsid w:val="05DD71D8"/>
    <w:rsid w:val="05E9C3D2"/>
    <w:rsid w:val="05F3730C"/>
    <w:rsid w:val="0609D21F"/>
    <w:rsid w:val="06135C94"/>
    <w:rsid w:val="06244451"/>
    <w:rsid w:val="06489395"/>
    <w:rsid w:val="0676B26C"/>
    <w:rsid w:val="069B48BE"/>
    <w:rsid w:val="06A7E1B5"/>
    <w:rsid w:val="06DB57B6"/>
    <w:rsid w:val="06DB8D5F"/>
    <w:rsid w:val="06FB83B2"/>
    <w:rsid w:val="06FC270B"/>
    <w:rsid w:val="07243331"/>
    <w:rsid w:val="072E4A7F"/>
    <w:rsid w:val="074C973C"/>
    <w:rsid w:val="074F211A"/>
    <w:rsid w:val="0762F291"/>
    <w:rsid w:val="076BEE58"/>
    <w:rsid w:val="0789B18B"/>
    <w:rsid w:val="07C52DA3"/>
    <w:rsid w:val="07E8A24B"/>
    <w:rsid w:val="0808BD35"/>
    <w:rsid w:val="081544B5"/>
    <w:rsid w:val="081C3256"/>
    <w:rsid w:val="083CB87A"/>
    <w:rsid w:val="084AE312"/>
    <w:rsid w:val="0851C0EA"/>
    <w:rsid w:val="085E5B0A"/>
    <w:rsid w:val="08A30B14"/>
    <w:rsid w:val="08A670E4"/>
    <w:rsid w:val="08B5386B"/>
    <w:rsid w:val="08B99086"/>
    <w:rsid w:val="08CA4F81"/>
    <w:rsid w:val="08D4D25C"/>
    <w:rsid w:val="08E1C081"/>
    <w:rsid w:val="08EF6B3A"/>
    <w:rsid w:val="08F5B2F3"/>
    <w:rsid w:val="0916F5EE"/>
    <w:rsid w:val="091BC857"/>
    <w:rsid w:val="093519CA"/>
    <w:rsid w:val="096197A1"/>
    <w:rsid w:val="096CFBE4"/>
    <w:rsid w:val="099580DC"/>
    <w:rsid w:val="09B6D6A5"/>
    <w:rsid w:val="09C9FA5B"/>
    <w:rsid w:val="09CA4489"/>
    <w:rsid w:val="09D68EC3"/>
    <w:rsid w:val="09DE7D23"/>
    <w:rsid w:val="09DF5356"/>
    <w:rsid w:val="09E6B373"/>
    <w:rsid w:val="09E708C6"/>
    <w:rsid w:val="09F0C570"/>
    <w:rsid w:val="09F3661C"/>
    <w:rsid w:val="0A0233ED"/>
    <w:rsid w:val="0A02B0A3"/>
    <w:rsid w:val="0A068991"/>
    <w:rsid w:val="0A11E918"/>
    <w:rsid w:val="0A1D8DF7"/>
    <w:rsid w:val="0A2762B9"/>
    <w:rsid w:val="0A360AD9"/>
    <w:rsid w:val="0A4BD11A"/>
    <w:rsid w:val="0A4FB430"/>
    <w:rsid w:val="0A5792AB"/>
    <w:rsid w:val="0A738387"/>
    <w:rsid w:val="0A7B3443"/>
    <w:rsid w:val="0A80BD55"/>
    <w:rsid w:val="0A8E1A85"/>
    <w:rsid w:val="0A931CB0"/>
    <w:rsid w:val="0A9B965F"/>
    <w:rsid w:val="0AB54076"/>
    <w:rsid w:val="0AEDE96E"/>
    <w:rsid w:val="0AF5E299"/>
    <w:rsid w:val="0AFC3AD7"/>
    <w:rsid w:val="0B11B723"/>
    <w:rsid w:val="0B21D4D2"/>
    <w:rsid w:val="0B286C81"/>
    <w:rsid w:val="0B5837F5"/>
    <w:rsid w:val="0B6CA368"/>
    <w:rsid w:val="0B6FE195"/>
    <w:rsid w:val="0B82F47B"/>
    <w:rsid w:val="0BA4C1CB"/>
    <w:rsid w:val="0BC0EF98"/>
    <w:rsid w:val="0BCE09DF"/>
    <w:rsid w:val="0BD89609"/>
    <w:rsid w:val="0BE393E4"/>
    <w:rsid w:val="0BE3D6B8"/>
    <w:rsid w:val="0C0544F6"/>
    <w:rsid w:val="0C0D5B52"/>
    <w:rsid w:val="0C16A8C0"/>
    <w:rsid w:val="0C6BA144"/>
    <w:rsid w:val="0C7414FE"/>
    <w:rsid w:val="0C7931C5"/>
    <w:rsid w:val="0C88C912"/>
    <w:rsid w:val="0CAA1BA4"/>
    <w:rsid w:val="0CCDB335"/>
    <w:rsid w:val="0CD7E5D3"/>
    <w:rsid w:val="0CDC5275"/>
    <w:rsid w:val="0CE027B0"/>
    <w:rsid w:val="0CE337BC"/>
    <w:rsid w:val="0CFD1E42"/>
    <w:rsid w:val="0D07D392"/>
    <w:rsid w:val="0D133C88"/>
    <w:rsid w:val="0D24A1FC"/>
    <w:rsid w:val="0D472D88"/>
    <w:rsid w:val="0D494B02"/>
    <w:rsid w:val="0D533013"/>
    <w:rsid w:val="0D5A13C8"/>
    <w:rsid w:val="0D63F653"/>
    <w:rsid w:val="0D6BCE5E"/>
    <w:rsid w:val="0D6C0318"/>
    <w:rsid w:val="0D751A33"/>
    <w:rsid w:val="0D854997"/>
    <w:rsid w:val="0D9946B2"/>
    <w:rsid w:val="0D9CD329"/>
    <w:rsid w:val="0DC1F20A"/>
    <w:rsid w:val="0DCFD512"/>
    <w:rsid w:val="0DE60020"/>
    <w:rsid w:val="0DECFC79"/>
    <w:rsid w:val="0E1A7B5E"/>
    <w:rsid w:val="0E29D653"/>
    <w:rsid w:val="0E322215"/>
    <w:rsid w:val="0E36A200"/>
    <w:rsid w:val="0E6E632A"/>
    <w:rsid w:val="0E73FE31"/>
    <w:rsid w:val="0E76CD3E"/>
    <w:rsid w:val="0E9D6048"/>
    <w:rsid w:val="0E9E3CCE"/>
    <w:rsid w:val="0EA5EA3C"/>
    <w:rsid w:val="0EACF482"/>
    <w:rsid w:val="0EC240CB"/>
    <w:rsid w:val="0F154BB4"/>
    <w:rsid w:val="0F18A0EC"/>
    <w:rsid w:val="0F200CAD"/>
    <w:rsid w:val="0F258342"/>
    <w:rsid w:val="0F3718C9"/>
    <w:rsid w:val="0F46A297"/>
    <w:rsid w:val="0F49C4DC"/>
    <w:rsid w:val="0F62D461"/>
    <w:rsid w:val="0F6C62EB"/>
    <w:rsid w:val="0F93D1D5"/>
    <w:rsid w:val="0F9F586F"/>
    <w:rsid w:val="0FC0D1F9"/>
    <w:rsid w:val="0FC244D2"/>
    <w:rsid w:val="0FC69217"/>
    <w:rsid w:val="0FC9A7E3"/>
    <w:rsid w:val="0FCBFE6A"/>
    <w:rsid w:val="0FCE5424"/>
    <w:rsid w:val="0FD64A49"/>
    <w:rsid w:val="10484383"/>
    <w:rsid w:val="105C7906"/>
    <w:rsid w:val="10702A86"/>
    <w:rsid w:val="1071E316"/>
    <w:rsid w:val="1073402C"/>
    <w:rsid w:val="1077178B"/>
    <w:rsid w:val="1090B157"/>
    <w:rsid w:val="10910EB8"/>
    <w:rsid w:val="11013DCD"/>
    <w:rsid w:val="11066F1D"/>
    <w:rsid w:val="110B1B82"/>
    <w:rsid w:val="111157A5"/>
    <w:rsid w:val="11231E7D"/>
    <w:rsid w:val="112460A7"/>
    <w:rsid w:val="1147E562"/>
    <w:rsid w:val="11677C62"/>
    <w:rsid w:val="1168D501"/>
    <w:rsid w:val="11794D5A"/>
    <w:rsid w:val="1183DA4A"/>
    <w:rsid w:val="11883234"/>
    <w:rsid w:val="11D16BE9"/>
    <w:rsid w:val="11D69181"/>
    <w:rsid w:val="11D91C2D"/>
    <w:rsid w:val="11E23159"/>
    <w:rsid w:val="11E49957"/>
    <w:rsid w:val="11EB63FB"/>
    <w:rsid w:val="11EF13E4"/>
    <w:rsid w:val="11FBD2A9"/>
    <w:rsid w:val="11FCFB35"/>
    <w:rsid w:val="1205E538"/>
    <w:rsid w:val="1239FF7C"/>
    <w:rsid w:val="123E47A9"/>
    <w:rsid w:val="1241FA40"/>
    <w:rsid w:val="12431184"/>
    <w:rsid w:val="124E7379"/>
    <w:rsid w:val="12791926"/>
    <w:rsid w:val="128E2F49"/>
    <w:rsid w:val="12CFF725"/>
    <w:rsid w:val="12D13BDA"/>
    <w:rsid w:val="12D659FA"/>
    <w:rsid w:val="12E03311"/>
    <w:rsid w:val="12E7FBBA"/>
    <w:rsid w:val="12FF5BEB"/>
    <w:rsid w:val="1323504C"/>
    <w:rsid w:val="134EA47F"/>
    <w:rsid w:val="137E68B7"/>
    <w:rsid w:val="1395DDD0"/>
    <w:rsid w:val="13997A71"/>
    <w:rsid w:val="139A8E69"/>
    <w:rsid w:val="13AEA2A1"/>
    <w:rsid w:val="13BB9A24"/>
    <w:rsid w:val="13BF01E0"/>
    <w:rsid w:val="13C43992"/>
    <w:rsid w:val="13D75272"/>
    <w:rsid w:val="13E36A73"/>
    <w:rsid w:val="14059820"/>
    <w:rsid w:val="1424D8F7"/>
    <w:rsid w:val="142F446B"/>
    <w:rsid w:val="1431E7D8"/>
    <w:rsid w:val="1448A539"/>
    <w:rsid w:val="144D2F3E"/>
    <w:rsid w:val="14545E25"/>
    <w:rsid w:val="145A9F2C"/>
    <w:rsid w:val="14795B4C"/>
    <w:rsid w:val="148FAD19"/>
    <w:rsid w:val="14945D69"/>
    <w:rsid w:val="14D6D370"/>
    <w:rsid w:val="14E0147B"/>
    <w:rsid w:val="1505A621"/>
    <w:rsid w:val="150BC264"/>
    <w:rsid w:val="151865C8"/>
    <w:rsid w:val="15282124"/>
    <w:rsid w:val="1531C527"/>
    <w:rsid w:val="153E19AF"/>
    <w:rsid w:val="1545B3A1"/>
    <w:rsid w:val="154B13B3"/>
    <w:rsid w:val="155B1EEA"/>
    <w:rsid w:val="1561034A"/>
    <w:rsid w:val="156ECEA4"/>
    <w:rsid w:val="158535CA"/>
    <w:rsid w:val="1589D906"/>
    <w:rsid w:val="1593CF80"/>
    <w:rsid w:val="159C42C4"/>
    <w:rsid w:val="15B8D894"/>
    <w:rsid w:val="15BFDEE9"/>
    <w:rsid w:val="15C74552"/>
    <w:rsid w:val="15D7115D"/>
    <w:rsid w:val="15E57E39"/>
    <w:rsid w:val="15F11205"/>
    <w:rsid w:val="15FADB0A"/>
    <w:rsid w:val="16030F3B"/>
    <w:rsid w:val="160FD473"/>
    <w:rsid w:val="16155DE9"/>
    <w:rsid w:val="161D0161"/>
    <w:rsid w:val="162512FA"/>
    <w:rsid w:val="16252E85"/>
    <w:rsid w:val="162830FC"/>
    <w:rsid w:val="1633B5A9"/>
    <w:rsid w:val="1642BD56"/>
    <w:rsid w:val="164BAC78"/>
    <w:rsid w:val="16550787"/>
    <w:rsid w:val="1659308F"/>
    <w:rsid w:val="165CC98C"/>
    <w:rsid w:val="1665ED5A"/>
    <w:rsid w:val="168447F2"/>
    <w:rsid w:val="168FB064"/>
    <w:rsid w:val="169E20BD"/>
    <w:rsid w:val="169FA7CE"/>
    <w:rsid w:val="16C21D3C"/>
    <w:rsid w:val="16C5A722"/>
    <w:rsid w:val="16CCF96A"/>
    <w:rsid w:val="16DD7763"/>
    <w:rsid w:val="16E9B2EA"/>
    <w:rsid w:val="16F66729"/>
    <w:rsid w:val="16FB8A69"/>
    <w:rsid w:val="16FBDA54"/>
    <w:rsid w:val="17096923"/>
    <w:rsid w:val="1710E202"/>
    <w:rsid w:val="1712F8E8"/>
    <w:rsid w:val="17137982"/>
    <w:rsid w:val="17233EE7"/>
    <w:rsid w:val="17406D41"/>
    <w:rsid w:val="1743A443"/>
    <w:rsid w:val="174A506C"/>
    <w:rsid w:val="179680AD"/>
    <w:rsid w:val="179BB8BB"/>
    <w:rsid w:val="17B3A72E"/>
    <w:rsid w:val="17CE9BDE"/>
    <w:rsid w:val="17D7351E"/>
    <w:rsid w:val="17E1BBBF"/>
    <w:rsid w:val="17E40C71"/>
    <w:rsid w:val="17FAD2F3"/>
    <w:rsid w:val="18051ECC"/>
    <w:rsid w:val="180AB584"/>
    <w:rsid w:val="182E7148"/>
    <w:rsid w:val="183D0E5D"/>
    <w:rsid w:val="183F1E09"/>
    <w:rsid w:val="1847AB84"/>
    <w:rsid w:val="18484F26"/>
    <w:rsid w:val="18485DB1"/>
    <w:rsid w:val="187F62CC"/>
    <w:rsid w:val="1884B86A"/>
    <w:rsid w:val="188A7B5F"/>
    <w:rsid w:val="18BFE752"/>
    <w:rsid w:val="18CC9DC7"/>
    <w:rsid w:val="18F07956"/>
    <w:rsid w:val="1909CF56"/>
    <w:rsid w:val="1928A38A"/>
    <w:rsid w:val="192CC3B2"/>
    <w:rsid w:val="19363626"/>
    <w:rsid w:val="193B4A25"/>
    <w:rsid w:val="19752BB4"/>
    <w:rsid w:val="19755053"/>
    <w:rsid w:val="19834500"/>
    <w:rsid w:val="19AA22CB"/>
    <w:rsid w:val="19BCE7FB"/>
    <w:rsid w:val="19C1F1DA"/>
    <w:rsid w:val="1A05684E"/>
    <w:rsid w:val="1A121FBC"/>
    <w:rsid w:val="1A2C9BDA"/>
    <w:rsid w:val="1A3BCD13"/>
    <w:rsid w:val="1A400F94"/>
    <w:rsid w:val="1A4585F2"/>
    <w:rsid w:val="1A4E12A4"/>
    <w:rsid w:val="1A58EF03"/>
    <w:rsid w:val="1A5ADFA9"/>
    <w:rsid w:val="1A5F5DD0"/>
    <w:rsid w:val="1A8C49B7"/>
    <w:rsid w:val="1A98C916"/>
    <w:rsid w:val="1AA456C2"/>
    <w:rsid w:val="1AAA775A"/>
    <w:rsid w:val="1AAB59BF"/>
    <w:rsid w:val="1AAC4480"/>
    <w:rsid w:val="1ADC8D93"/>
    <w:rsid w:val="1AEF3B84"/>
    <w:rsid w:val="1B3A42AF"/>
    <w:rsid w:val="1B450992"/>
    <w:rsid w:val="1B5034E2"/>
    <w:rsid w:val="1B66DE69"/>
    <w:rsid w:val="1B7033A5"/>
    <w:rsid w:val="1B82F964"/>
    <w:rsid w:val="1B9A49A7"/>
    <w:rsid w:val="1BBA6A05"/>
    <w:rsid w:val="1BBB2131"/>
    <w:rsid w:val="1BC45242"/>
    <w:rsid w:val="1BC8555A"/>
    <w:rsid w:val="1BE0B56C"/>
    <w:rsid w:val="1BE39F31"/>
    <w:rsid w:val="1BEAF122"/>
    <w:rsid w:val="1BF6B2B7"/>
    <w:rsid w:val="1BFEB35F"/>
    <w:rsid w:val="1C05B256"/>
    <w:rsid w:val="1C065824"/>
    <w:rsid w:val="1C138414"/>
    <w:rsid w:val="1C146B92"/>
    <w:rsid w:val="1C1484CE"/>
    <w:rsid w:val="1C260B3D"/>
    <w:rsid w:val="1C31EB43"/>
    <w:rsid w:val="1C325F8B"/>
    <w:rsid w:val="1C378E66"/>
    <w:rsid w:val="1C3DCC88"/>
    <w:rsid w:val="1C3E21B0"/>
    <w:rsid w:val="1C44911B"/>
    <w:rsid w:val="1C6A3A9D"/>
    <w:rsid w:val="1C80C4A7"/>
    <w:rsid w:val="1C80CE9E"/>
    <w:rsid w:val="1C96A427"/>
    <w:rsid w:val="1CA01926"/>
    <w:rsid w:val="1CBBA905"/>
    <w:rsid w:val="1CD9E131"/>
    <w:rsid w:val="1CE09A80"/>
    <w:rsid w:val="1CEEC419"/>
    <w:rsid w:val="1D142988"/>
    <w:rsid w:val="1D1A786F"/>
    <w:rsid w:val="1D1BC049"/>
    <w:rsid w:val="1D1DD7EA"/>
    <w:rsid w:val="1D4B78CE"/>
    <w:rsid w:val="1D50C586"/>
    <w:rsid w:val="1D52D3EF"/>
    <w:rsid w:val="1D5B4964"/>
    <w:rsid w:val="1D7104D2"/>
    <w:rsid w:val="1D7E7934"/>
    <w:rsid w:val="1D94FC0E"/>
    <w:rsid w:val="1DA0C755"/>
    <w:rsid w:val="1DB9FB0C"/>
    <w:rsid w:val="1DE545D6"/>
    <w:rsid w:val="1DE5EC13"/>
    <w:rsid w:val="1E00BAF1"/>
    <w:rsid w:val="1E081D2A"/>
    <w:rsid w:val="1E1FAF2E"/>
    <w:rsid w:val="1E227222"/>
    <w:rsid w:val="1E44E02A"/>
    <w:rsid w:val="1E4EBF77"/>
    <w:rsid w:val="1E57EBBB"/>
    <w:rsid w:val="1E61144E"/>
    <w:rsid w:val="1E676A98"/>
    <w:rsid w:val="1E709FA2"/>
    <w:rsid w:val="1E72D984"/>
    <w:rsid w:val="1E778BD8"/>
    <w:rsid w:val="1EA80523"/>
    <w:rsid w:val="1EAB60BB"/>
    <w:rsid w:val="1EBF7E30"/>
    <w:rsid w:val="1EC761C3"/>
    <w:rsid w:val="1ECCAC55"/>
    <w:rsid w:val="1ED2ADDB"/>
    <w:rsid w:val="1F020282"/>
    <w:rsid w:val="1F0B31F4"/>
    <w:rsid w:val="1F18C0E3"/>
    <w:rsid w:val="1F1C9D4C"/>
    <w:rsid w:val="1F2CBC69"/>
    <w:rsid w:val="1F379A2F"/>
    <w:rsid w:val="1F38AB0D"/>
    <w:rsid w:val="1F3C2F28"/>
    <w:rsid w:val="1F49F719"/>
    <w:rsid w:val="1F5C34F7"/>
    <w:rsid w:val="1F61646D"/>
    <w:rsid w:val="1F7E79C5"/>
    <w:rsid w:val="1F8BBDCF"/>
    <w:rsid w:val="1F913F17"/>
    <w:rsid w:val="1FAA1D85"/>
    <w:rsid w:val="1FAE9F68"/>
    <w:rsid w:val="1FB2B7AD"/>
    <w:rsid w:val="1FC6E026"/>
    <w:rsid w:val="1FDB24CA"/>
    <w:rsid w:val="1FE91081"/>
    <w:rsid w:val="1FF1EA0D"/>
    <w:rsid w:val="1FF34449"/>
    <w:rsid w:val="2001D709"/>
    <w:rsid w:val="2004BCCA"/>
    <w:rsid w:val="2010009D"/>
    <w:rsid w:val="201791D6"/>
    <w:rsid w:val="2027846B"/>
    <w:rsid w:val="2029E400"/>
    <w:rsid w:val="2029EABE"/>
    <w:rsid w:val="20412324"/>
    <w:rsid w:val="204233B6"/>
    <w:rsid w:val="205B4E91"/>
    <w:rsid w:val="205E55F2"/>
    <w:rsid w:val="2097E2A0"/>
    <w:rsid w:val="20B94C1F"/>
    <w:rsid w:val="20BFDFDB"/>
    <w:rsid w:val="20CFA3C1"/>
    <w:rsid w:val="20D1CB0D"/>
    <w:rsid w:val="20EBAE66"/>
    <w:rsid w:val="21078A01"/>
    <w:rsid w:val="211DD3E0"/>
    <w:rsid w:val="21219E70"/>
    <w:rsid w:val="21347157"/>
    <w:rsid w:val="21378B62"/>
    <w:rsid w:val="215F5AD4"/>
    <w:rsid w:val="21685D5C"/>
    <w:rsid w:val="2173D576"/>
    <w:rsid w:val="21802EE9"/>
    <w:rsid w:val="218612EE"/>
    <w:rsid w:val="218FBFF0"/>
    <w:rsid w:val="219EA93E"/>
    <w:rsid w:val="21A7C736"/>
    <w:rsid w:val="21A9A9EF"/>
    <w:rsid w:val="21ABD0FE"/>
    <w:rsid w:val="21C7F70A"/>
    <w:rsid w:val="21C8C790"/>
    <w:rsid w:val="21EA2ED8"/>
    <w:rsid w:val="220455AD"/>
    <w:rsid w:val="2216A53F"/>
    <w:rsid w:val="22254A85"/>
    <w:rsid w:val="222FD0C7"/>
    <w:rsid w:val="22311A32"/>
    <w:rsid w:val="2234C10F"/>
    <w:rsid w:val="223E1CD9"/>
    <w:rsid w:val="22757DBD"/>
    <w:rsid w:val="22844EBF"/>
    <w:rsid w:val="2286E2D1"/>
    <w:rsid w:val="228A1D28"/>
    <w:rsid w:val="228F8FF7"/>
    <w:rsid w:val="2299291A"/>
    <w:rsid w:val="22AF34F6"/>
    <w:rsid w:val="22BAB5DA"/>
    <w:rsid w:val="22CAF408"/>
    <w:rsid w:val="22DDC9B6"/>
    <w:rsid w:val="22F72124"/>
    <w:rsid w:val="2306D666"/>
    <w:rsid w:val="23374482"/>
    <w:rsid w:val="233A3763"/>
    <w:rsid w:val="234AE9E2"/>
    <w:rsid w:val="236C28F3"/>
    <w:rsid w:val="238DDBB5"/>
    <w:rsid w:val="2393B235"/>
    <w:rsid w:val="23A60E9F"/>
    <w:rsid w:val="23B6D15A"/>
    <w:rsid w:val="23B89684"/>
    <w:rsid w:val="23BD7715"/>
    <w:rsid w:val="23BE17C3"/>
    <w:rsid w:val="2400D097"/>
    <w:rsid w:val="240D51B5"/>
    <w:rsid w:val="2410D054"/>
    <w:rsid w:val="242A49F5"/>
    <w:rsid w:val="242C2C7D"/>
    <w:rsid w:val="2431EFA5"/>
    <w:rsid w:val="2438AE7E"/>
    <w:rsid w:val="243F0636"/>
    <w:rsid w:val="246532AC"/>
    <w:rsid w:val="2480C086"/>
    <w:rsid w:val="2480DD95"/>
    <w:rsid w:val="2489AAED"/>
    <w:rsid w:val="24BB9178"/>
    <w:rsid w:val="24CA60BA"/>
    <w:rsid w:val="24D861DE"/>
    <w:rsid w:val="24D99444"/>
    <w:rsid w:val="24D99B85"/>
    <w:rsid w:val="24DD9B4C"/>
    <w:rsid w:val="24E9D4AF"/>
    <w:rsid w:val="24EC4997"/>
    <w:rsid w:val="24FF4A23"/>
    <w:rsid w:val="250AD21A"/>
    <w:rsid w:val="251A0B79"/>
    <w:rsid w:val="2526EEF0"/>
    <w:rsid w:val="252F7A4D"/>
    <w:rsid w:val="253B6802"/>
    <w:rsid w:val="253E9754"/>
    <w:rsid w:val="257BBDB8"/>
    <w:rsid w:val="257F494B"/>
    <w:rsid w:val="25A3087A"/>
    <w:rsid w:val="25C53A9D"/>
    <w:rsid w:val="25DB09C1"/>
    <w:rsid w:val="25E3E15B"/>
    <w:rsid w:val="25E8FBB2"/>
    <w:rsid w:val="26070F2B"/>
    <w:rsid w:val="260B371B"/>
    <w:rsid w:val="2612D060"/>
    <w:rsid w:val="26173D59"/>
    <w:rsid w:val="263DD78D"/>
    <w:rsid w:val="266DA28F"/>
    <w:rsid w:val="267D742F"/>
    <w:rsid w:val="26A477E4"/>
    <w:rsid w:val="26A8999D"/>
    <w:rsid w:val="26B430C5"/>
    <w:rsid w:val="26C7C4F4"/>
    <w:rsid w:val="26D28779"/>
    <w:rsid w:val="26E93C85"/>
    <w:rsid w:val="26FD7F86"/>
    <w:rsid w:val="27016060"/>
    <w:rsid w:val="2704C1C7"/>
    <w:rsid w:val="270B1AF3"/>
    <w:rsid w:val="272F1D66"/>
    <w:rsid w:val="27429E2B"/>
    <w:rsid w:val="275690E9"/>
    <w:rsid w:val="275898A0"/>
    <w:rsid w:val="27858EA2"/>
    <w:rsid w:val="279B1CA9"/>
    <w:rsid w:val="27E0F8B5"/>
    <w:rsid w:val="27EA967A"/>
    <w:rsid w:val="280065CB"/>
    <w:rsid w:val="280DBD7C"/>
    <w:rsid w:val="285482B3"/>
    <w:rsid w:val="28696742"/>
    <w:rsid w:val="286CE84E"/>
    <w:rsid w:val="2876F83F"/>
    <w:rsid w:val="28795C1A"/>
    <w:rsid w:val="288ECACD"/>
    <w:rsid w:val="289BCFDC"/>
    <w:rsid w:val="28A5ED7C"/>
    <w:rsid w:val="28B4C050"/>
    <w:rsid w:val="29263CBD"/>
    <w:rsid w:val="29316264"/>
    <w:rsid w:val="2931E341"/>
    <w:rsid w:val="2937F77D"/>
    <w:rsid w:val="29596A74"/>
    <w:rsid w:val="299EF2AB"/>
    <w:rsid w:val="29A8C3AC"/>
    <w:rsid w:val="29B6E2E3"/>
    <w:rsid w:val="29BA6442"/>
    <w:rsid w:val="29CCA42E"/>
    <w:rsid w:val="29DFB611"/>
    <w:rsid w:val="29E2225C"/>
    <w:rsid w:val="29F1AA89"/>
    <w:rsid w:val="2A0230D7"/>
    <w:rsid w:val="2A203A55"/>
    <w:rsid w:val="2A2713F3"/>
    <w:rsid w:val="2A40440A"/>
    <w:rsid w:val="2A480A69"/>
    <w:rsid w:val="2A7E4F1D"/>
    <w:rsid w:val="2A7E783B"/>
    <w:rsid w:val="2A7FAB69"/>
    <w:rsid w:val="2A9EA241"/>
    <w:rsid w:val="2AA048B8"/>
    <w:rsid w:val="2AA6D699"/>
    <w:rsid w:val="2AA8FBBA"/>
    <w:rsid w:val="2ABCF178"/>
    <w:rsid w:val="2AD60798"/>
    <w:rsid w:val="2AE57D2C"/>
    <w:rsid w:val="2B06C284"/>
    <w:rsid w:val="2B09E324"/>
    <w:rsid w:val="2B39EEC7"/>
    <w:rsid w:val="2B3EEC1E"/>
    <w:rsid w:val="2B415151"/>
    <w:rsid w:val="2B480CCB"/>
    <w:rsid w:val="2B55D08C"/>
    <w:rsid w:val="2B5C72E8"/>
    <w:rsid w:val="2B6658A2"/>
    <w:rsid w:val="2B6C9A9D"/>
    <w:rsid w:val="2B6FD579"/>
    <w:rsid w:val="2B7DEF48"/>
    <w:rsid w:val="2B921932"/>
    <w:rsid w:val="2BD4ABB3"/>
    <w:rsid w:val="2BEE82AC"/>
    <w:rsid w:val="2BF5DD17"/>
    <w:rsid w:val="2C1953E3"/>
    <w:rsid w:val="2C1C6003"/>
    <w:rsid w:val="2C2D01E3"/>
    <w:rsid w:val="2C392191"/>
    <w:rsid w:val="2C4CE9CC"/>
    <w:rsid w:val="2C4FC066"/>
    <w:rsid w:val="2C59922D"/>
    <w:rsid w:val="2C5F82DE"/>
    <w:rsid w:val="2C70F6C5"/>
    <w:rsid w:val="2C80BDFB"/>
    <w:rsid w:val="2C8FC60F"/>
    <w:rsid w:val="2C91DEE6"/>
    <w:rsid w:val="2C95097B"/>
    <w:rsid w:val="2CAE22DB"/>
    <w:rsid w:val="2CB48812"/>
    <w:rsid w:val="2CBEA0BB"/>
    <w:rsid w:val="2CD38B0B"/>
    <w:rsid w:val="2CE257F3"/>
    <w:rsid w:val="2CE6E2C8"/>
    <w:rsid w:val="2CF41411"/>
    <w:rsid w:val="2D13D3DC"/>
    <w:rsid w:val="2D14FD56"/>
    <w:rsid w:val="2D18D878"/>
    <w:rsid w:val="2D1EFD1F"/>
    <w:rsid w:val="2D2645AB"/>
    <w:rsid w:val="2D9190B1"/>
    <w:rsid w:val="2DB3CCCA"/>
    <w:rsid w:val="2DB83064"/>
    <w:rsid w:val="2DC01DEA"/>
    <w:rsid w:val="2DCE72D4"/>
    <w:rsid w:val="2DF4C3A0"/>
    <w:rsid w:val="2E0D691A"/>
    <w:rsid w:val="2E0F931C"/>
    <w:rsid w:val="2E1067B7"/>
    <w:rsid w:val="2E14C351"/>
    <w:rsid w:val="2E221D20"/>
    <w:rsid w:val="2E43924F"/>
    <w:rsid w:val="2E50676E"/>
    <w:rsid w:val="2E5BB1AE"/>
    <w:rsid w:val="2E65B078"/>
    <w:rsid w:val="2E6DE6D4"/>
    <w:rsid w:val="2E7FDFF5"/>
    <w:rsid w:val="2E82E9F7"/>
    <w:rsid w:val="2E84B982"/>
    <w:rsid w:val="2E8B6A4E"/>
    <w:rsid w:val="2E92E165"/>
    <w:rsid w:val="2E999D32"/>
    <w:rsid w:val="2EA4611B"/>
    <w:rsid w:val="2EA99AD2"/>
    <w:rsid w:val="2EBCEC4C"/>
    <w:rsid w:val="2EC4D0A5"/>
    <w:rsid w:val="2ECD3DAE"/>
    <w:rsid w:val="2ED41F8F"/>
    <w:rsid w:val="2ED6DA76"/>
    <w:rsid w:val="2EE35199"/>
    <w:rsid w:val="2EEAEBE4"/>
    <w:rsid w:val="2EF6CA6F"/>
    <w:rsid w:val="2EFF3411"/>
    <w:rsid w:val="2F224001"/>
    <w:rsid w:val="2F45D757"/>
    <w:rsid w:val="2F5400C5"/>
    <w:rsid w:val="2F5B5F20"/>
    <w:rsid w:val="2F6AC9DC"/>
    <w:rsid w:val="2F79B316"/>
    <w:rsid w:val="2FB0A7B2"/>
    <w:rsid w:val="2FC2BBA0"/>
    <w:rsid w:val="2FD1122A"/>
    <w:rsid w:val="2FDAA2EC"/>
    <w:rsid w:val="2FDF7DD1"/>
    <w:rsid w:val="2FFEC583"/>
    <w:rsid w:val="3001B741"/>
    <w:rsid w:val="3008B511"/>
    <w:rsid w:val="301233BC"/>
    <w:rsid w:val="3038811F"/>
    <w:rsid w:val="3048E6BB"/>
    <w:rsid w:val="304F2A93"/>
    <w:rsid w:val="3067F375"/>
    <w:rsid w:val="3076BC16"/>
    <w:rsid w:val="3087B2C6"/>
    <w:rsid w:val="3099B474"/>
    <w:rsid w:val="30A35A5C"/>
    <w:rsid w:val="30CAFB33"/>
    <w:rsid w:val="30D9CA31"/>
    <w:rsid w:val="30FA2EEF"/>
    <w:rsid w:val="3101BC18"/>
    <w:rsid w:val="310A8795"/>
    <w:rsid w:val="310E2922"/>
    <w:rsid w:val="311670F5"/>
    <w:rsid w:val="31289B3B"/>
    <w:rsid w:val="313F9C95"/>
    <w:rsid w:val="315585EB"/>
    <w:rsid w:val="315B2A39"/>
    <w:rsid w:val="31614D63"/>
    <w:rsid w:val="316EBFE1"/>
    <w:rsid w:val="31785B27"/>
    <w:rsid w:val="317F5565"/>
    <w:rsid w:val="318CB9AC"/>
    <w:rsid w:val="31C882D5"/>
    <w:rsid w:val="31C9E3B2"/>
    <w:rsid w:val="31CF2E61"/>
    <w:rsid w:val="31E84E88"/>
    <w:rsid w:val="31FE67B4"/>
    <w:rsid w:val="3204166D"/>
    <w:rsid w:val="321E979D"/>
    <w:rsid w:val="322ACBFC"/>
    <w:rsid w:val="322D36BC"/>
    <w:rsid w:val="322EF42F"/>
    <w:rsid w:val="32307DFA"/>
    <w:rsid w:val="32340718"/>
    <w:rsid w:val="32383E7A"/>
    <w:rsid w:val="324EF07C"/>
    <w:rsid w:val="32634D9F"/>
    <w:rsid w:val="326E20F3"/>
    <w:rsid w:val="32898E91"/>
    <w:rsid w:val="3289A2EC"/>
    <w:rsid w:val="32B46808"/>
    <w:rsid w:val="32D7342E"/>
    <w:rsid w:val="32D76C45"/>
    <w:rsid w:val="33212A33"/>
    <w:rsid w:val="3323EDC6"/>
    <w:rsid w:val="3329A2A8"/>
    <w:rsid w:val="332BB2D3"/>
    <w:rsid w:val="33323252"/>
    <w:rsid w:val="3338E67A"/>
    <w:rsid w:val="334C092C"/>
    <w:rsid w:val="335E6704"/>
    <w:rsid w:val="339398AD"/>
    <w:rsid w:val="33988CD7"/>
    <w:rsid w:val="33D0C3D4"/>
    <w:rsid w:val="33EDEE38"/>
    <w:rsid w:val="33F3F3EE"/>
    <w:rsid w:val="33F7BC4A"/>
    <w:rsid w:val="33FE065C"/>
    <w:rsid w:val="340A0267"/>
    <w:rsid w:val="3415F1D8"/>
    <w:rsid w:val="3418DA7E"/>
    <w:rsid w:val="3426025C"/>
    <w:rsid w:val="3426F2C5"/>
    <w:rsid w:val="346BAE69"/>
    <w:rsid w:val="347617B2"/>
    <w:rsid w:val="34871168"/>
    <w:rsid w:val="34E19ACB"/>
    <w:rsid w:val="34F2804F"/>
    <w:rsid w:val="35144407"/>
    <w:rsid w:val="35387373"/>
    <w:rsid w:val="353AF5D2"/>
    <w:rsid w:val="35458753"/>
    <w:rsid w:val="35544856"/>
    <w:rsid w:val="35562543"/>
    <w:rsid w:val="355C23CE"/>
    <w:rsid w:val="355F37E2"/>
    <w:rsid w:val="359232A3"/>
    <w:rsid w:val="35BBB495"/>
    <w:rsid w:val="35D967D2"/>
    <w:rsid w:val="35F200C9"/>
    <w:rsid w:val="35F91E4F"/>
    <w:rsid w:val="360640B4"/>
    <w:rsid w:val="36065329"/>
    <w:rsid w:val="360DD3C2"/>
    <w:rsid w:val="361467EA"/>
    <w:rsid w:val="36229486"/>
    <w:rsid w:val="36276929"/>
    <w:rsid w:val="364C6027"/>
    <w:rsid w:val="364E2125"/>
    <w:rsid w:val="36526ED7"/>
    <w:rsid w:val="36892785"/>
    <w:rsid w:val="369C733D"/>
    <w:rsid w:val="36B7D4CD"/>
    <w:rsid w:val="36C4E237"/>
    <w:rsid w:val="36C9A323"/>
    <w:rsid w:val="36CC093A"/>
    <w:rsid w:val="3716198A"/>
    <w:rsid w:val="374B7B73"/>
    <w:rsid w:val="37633162"/>
    <w:rsid w:val="37700081"/>
    <w:rsid w:val="378480BE"/>
    <w:rsid w:val="3799D3F5"/>
    <w:rsid w:val="37A30D1A"/>
    <w:rsid w:val="37C39E44"/>
    <w:rsid w:val="37C44226"/>
    <w:rsid w:val="37C498FB"/>
    <w:rsid w:val="37C87447"/>
    <w:rsid w:val="37E0900C"/>
    <w:rsid w:val="37E4A352"/>
    <w:rsid w:val="37EA7495"/>
    <w:rsid w:val="37EACB2B"/>
    <w:rsid w:val="37F345D7"/>
    <w:rsid w:val="37FB676B"/>
    <w:rsid w:val="37FC6AE4"/>
    <w:rsid w:val="38065B50"/>
    <w:rsid w:val="3806A8DF"/>
    <w:rsid w:val="3807C49F"/>
    <w:rsid w:val="382209D6"/>
    <w:rsid w:val="38397A7F"/>
    <w:rsid w:val="38412E36"/>
    <w:rsid w:val="38415223"/>
    <w:rsid w:val="3852C3BE"/>
    <w:rsid w:val="3865D2FF"/>
    <w:rsid w:val="386C7036"/>
    <w:rsid w:val="38901AC6"/>
    <w:rsid w:val="3892138A"/>
    <w:rsid w:val="38F59226"/>
    <w:rsid w:val="39230C1F"/>
    <w:rsid w:val="394471E4"/>
    <w:rsid w:val="39565EFA"/>
    <w:rsid w:val="396A93F6"/>
    <w:rsid w:val="397E1226"/>
    <w:rsid w:val="39A67A65"/>
    <w:rsid w:val="39B1ECAB"/>
    <w:rsid w:val="39C9CC6A"/>
    <w:rsid w:val="3A22F667"/>
    <w:rsid w:val="3A32B501"/>
    <w:rsid w:val="3A39BA83"/>
    <w:rsid w:val="3A429FE3"/>
    <w:rsid w:val="3A4EF584"/>
    <w:rsid w:val="3A5D24A9"/>
    <w:rsid w:val="3A61A956"/>
    <w:rsid w:val="3A696EF2"/>
    <w:rsid w:val="3AB2F5B5"/>
    <w:rsid w:val="3AB7B25D"/>
    <w:rsid w:val="3AE100B2"/>
    <w:rsid w:val="3AF7D7CE"/>
    <w:rsid w:val="3AF97053"/>
    <w:rsid w:val="3B099680"/>
    <w:rsid w:val="3B0A9EF8"/>
    <w:rsid w:val="3B1A5924"/>
    <w:rsid w:val="3B1E20A2"/>
    <w:rsid w:val="3B26B7E7"/>
    <w:rsid w:val="3B29C32F"/>
    <w:rsid w:val="3B5320C6"/>
    <w:rsid w:val="3B7433A7"/>
    <w:rsid w:val="3B797659"/>
    <w:rsid w:val="3B89523A"/>
    <w:rsid w:val="3BA30AC1"/>
    <w:rsid w:val="3BA4B40A"/>
    <w:rsid w:val="3BAC79AA"/>
    <w:rsid w:val="3BBC80CB"/>
    <w:rsid w:val="3BC26547"/>
    <w:rsid w:val="3BC74DAC"/>
    <w:rsid w:val="3BEBC6BB"/>
    <w:rsid w:val="3BF232B3"/>
    <w:rsid w:val="3BF4FA90"/>
    <w:rsid w:val="3BF5AF74"/>
    <w:rsid w:val="3BF68392"/>
    <w:rsid w:val="3BFBD8F3"/>
    <w:rsid w:val="3C4F3776"/>
    <w:rsid w:val="3C7A9D92"/>
    <w:rsid w:val="3C7EE69C"/>
    <w:rsid w:val="3C9B7467"/>
    <w:rsid w:val="3C9E9738"/>
    <w:rsid w:val="3CA2EB46"/>
    <w:rsid w:val="3CCD1103"/>
    <w:rsid w:val="3CD01300"/>
    <w:rsid w:val="3CE515C4"/>
    <w:rsid w:val="3CF296EB"/>
    <w:rsid w:val="3D041C57"/>
    <w:rsid w:val="3D04848E"/>
    <w:rsid w:val="3D1A2D6D"/>
    <w:rsid w:val="3D388FA8"/>
    <w:rsid w:val="3D3EA441"/>
    <w:rsid w:val="3D3FF3D3"/>
    <w:rsid w:val="3D4CFB81"/>
    <w:rsid w:val="3D552F21"/>
    <w:rsid w:val="3D5548EB"/>
    <w:rsid w:val="3D78588A"/>
    <w:rsid w:val="3D83BF1B"/>
    <w:rsid w:val="3D861AFB"/>
    <w:rsid w:val="3D86260A"/>
    <w:rsid w:val="3D947BB7"/>
    <w:rsid w:val="3D9F50F2"/>
    <w:rsid w:val="3DA0D828"/>
    <w:rsid w:val="3DA54AFC"/>
    <w:rsid w:val="3DBFFE1F"/>
    <w:rsid w:val="3E0612CD"/>
    <w:rsid w:val="3E24135E"/>
    <w:rsid w:val="3E26F9B9"/>
    <w:rsid w:val="3E2A1F52"/>
    <w:rsid w:val="3E2AF45D"/>
    <w:rsid w:val="3E2D5154"/>
    <w:rsid w:val="3E3130DD"/>
    <w:rsid w:val="3E33DCC6"/>
    <w:rsid w:val="3E38924C"/>
    <w:rsid w:val="3E3949CE"/>
    <w:rsid w:val="3E39BDB9"/>
    <w:rsid w:val="3E3A615A"/>
    <w:rsid w:val="3E3C1114"/>
    <w:rsid w:val="3E3CBBD8"/>
    <w:rsid w:val="3E413EB5"/>
    <w:rsid w:val="3E48872B"/>
    <w:rsid w:val="3E577F79"/>
    <w:rsid w:val="3E60BE3F"/>
    <w:rsid w:val="3E6BDA21"/>
    <w:rsid w:val="3E708E09"/>
    <w:rsid w:val="3E88899A"/>
    <w:rsid w:val="3E9F215A"/>
    <w:rsid w:val="3EC6F19A"/>
    <w:rsid w:val="3ED72B69"/>
    <w:rsid w:val="3EDF338E"/>
    <w:rsid w:val="3EEB16D2"/>
    <w:rsid w:val="3EF75C78"/>
    <w:rsid w:val="3F0B85F5"/>
    <w:rsid w:val="3F13F177"/>
    <w:rsid w:val="3F3124D2"/>
    <w:rsid w:val="3F320F7D"/>
    <w:rsid w:val="3F39BFB0"/>
    <w:rsid w:val="3F46A5F6"/>
    <w:rsid w:val="3F5AE19F"/>
    <w:rsid w:val="3F6CB131"/>
    <w:rsid w:val="3F7714AB"/>
    <w:rsid w:val="3F8291A0"/>
    <w:rsid w:val="3F8530EB"/>
    <w:rsid w:val="3F88E8A6"/>
    <w:rsid w:val="3F8A4DDD"/>
    <w:rsid w:val="3F96E587"/>
    <w:rsid w:val="3FA44C02"/>
    <w:rsid w:val="3FA9ADB5"/>
    <w:rsid w:val="3FADFCC1"/>
    <w:rsid w:val="3FC0F084"/>
    <w:rsid w:val="3FC2A7B6"/>
    <w:rsid w:val="3FE54375"/>
    <w:rsid w:val="3FEA4261"/>
    <w:rsid w:val="3FED1872"/>
    <w:rsid w:val="3FEDAEEF"/>
    <w:rsid w:val="4001E152"/>
    <w:rsid w:val="401F5342"/>
    <w:rsid w:val="403E16CC"/>
    <w:rsid w:val="40443C2F"/>
    <w:rsid w:val="4045334A"/>
    <w:rsid w:val="404D71EF"/>
    <w:rsid w:val="40701747"/>
    <w:rsid w:val="407F7FB2"/>
    <w:rsid w:val="40866584"/>
    <w:rsid w:val="4092242B"/>
    <w:rsid w:val="409825D0"/>
    <w:rsid w:val="4099AB53"/>
    <w:rsid w:val="40A9183C"/>
    <w:rsid w:val="40B7D50A"/>
    <w:rsid w:val="40BD4176"/>
    <w:rsid w:val="40CC8C32"/>
    <w:rsid w:val="40DEB1DF"/>
    <w:rsid w:val="411057A9"/>
    <w:rsid w:val="413970B5"/>
    <w:rsid w:val="41425F00"/>
    <w:rsid w:val="4149085E"/>
    <w:rsid w:val="414B7228"/>
    <w:rsid w:val="4152D400"/>
    <w:rsid w:val="416230BB"/>
    <w:rsid w:val="4166D747"/>
    <w:rsid w:val="416F817F"/>
    <w:rsid w:val="4172534E"/>
    <w:rsid w:val="417F2D2D"/>
    <w:rsid w:val="41963526"/>
    <w:rsid w:val="41A40165"/>
    <w:rsid w:val="41B2189B"/>
    <w:rsid w:val="41CC7CB2"/>
    <w:rsid w:val="41CE4E7A"/>
    <w:rsid w:val="42092770"/>
    <w:rsid w:val="4222034F"/>
    <w:rsid w:val="423A8D87"/>
    <w:rsid w:val="4276B198"/>
    <w:rsid w:val="42792372"/>
    <w:rsid w:val="42A8F162"/>
    <w:rsid w:val="42BDEF42"/>
    <w:rsid w:val="42D08BF2"/>
    <w:rsid w:val="42F29EB8"/>
    <w:rsid w:val="42F992F6"/>
    <w:rsid w:val="42FD8A79"/>
    <w:rsid w:val="4303A05F"/>
    <w:rsid w:val="430E3D63"/>
    <w:rsid w:val="431637F2"/>
    <w:rsid w:val="43399F18"/>
    <w:rsid w:val="433B05E5"/>
    <w:rsid w:val="434B1B41"/>
    <w:rsid w:val="436FE97C"/>
    <w:rsid w:val="438071F7"/>
    <w:rsid w:val="43875249"/>
    <w:rsid w:val="439C16F0"/>
    <w:rsid w:val="43B9DA2C"/>
    <w:rsid w:val="43D9FBB5"/>
    <w:rsid w:val="43EA932A"/>
    <w:rsid w:val="44338CD0"/>
    <w:rsid w:val="44577B75"/>
    <w:rsid w:val="445BA8C1"/>
    <w:rsid w:val="4477A3D0"/>
    <w:rsid w:val="4499E008"/>
    <w:rsid w:val="44A49542"/>
    <w:rsid w:val="44A4A829"/>
    <w:rsid w:val="44A79F54"/>
    <w:rsid w:val="44D0E523"/>
    <w:rsid w:val="44FBF7B9"/>
    <w:rsid w:val="4502B524"/>
    <w:rsid w:val="4506F91B"/>
    <w:rsid w:val="450E4B4D"/>
    <w:rsid w:val="451521E3"/>
    <w:rsid w:val="451CDE6C"/>
    <w:rsid w:val="45270C35"/>
    <w:rsid w:val="452B016D"/>
    <w:rsid w:val="452C28BB"/>
    <w:rsid w:val="4538380B"/>
    <w:rsid w:val="4554C384"/>
    <w:rsid w:val="45570510"/>
    <w:rsid w:val="4565ED28"/>
    <w:rsid w:val="4567DE45"/>
    <w:rsid w:val="456DAE78"/>
    <w:rsid w:val="457B141E"/>
    <w:rsid w:val="457D0E2A"/>
    <w:rsid w:val="457FC4AB"/>
    <w:rsid w:val="458B637E"/>
    <w:rsid w:val="45A30F24"/>
    <w:rsid w:val="45B0D3F0"/>
    <w:rsid w:val="45B1AEA1"/>
    <w:rsid w:val="45C0460B"/>
    <w:rsid w:val="45C1C976"/>
    <w:rsid w:val="45E67602"/>
    <w:rsid w:val="4606C042"/>
    <w:rsid w:val="460C9309"/>
    <w:rsid w:val="4614CC14"/>
    <w:rsid w:val="463441B1"/>
    <w:rsid w:val="463C9A17"/>
    <w:rsid w:val="46535F91"/>
    <w:rsid w:val="465983E5"/>
    <w:rsid w:val="465A2884"/>
    <w:rsid w:val="465E1300"/>
    <w:rsid w:val="466A50D3"/>
    <w:rsid w:val="467CFC73"/>
    <w:rsid w:val="467D2560"/>
    <w:rsid w:val="4680739E"/>
    <w:rsid w:val="4690E518"/>
    <w:rsid w:val="469D1D1F"/>
    <w:rsid w:val="46D394A6"/>
    <w:rsid w:val="46D51795"/>
    <w:rsid w:val="46F867D6"/>
    <w:rsid w:val="4706006A"/>
    <w:rsid w:val="472A6365"/>
    <w:rsid w:val="4738A83F"/>
    <w:rsid w:val="473E4340"/>
    <w:rsid w:val="473FB1B0"/>
    <w:rsid w:val="477119FB"/>
    <w:rsid w:val="477D23FA"/>
    <w:rsid w:val="478B895F"/>
    <w:rsid w:val="47928B37"/>
    <w:rsid w:val="479BEB7B"/>
    <w:rsid w:val="479CE73E"/>
    <w:rsid w:val="47B849E2"/>
    <w:rsid w:val="47BDD852"/>
    <w:rsid w:val="47C84172"/>
    <w:rsid w:val="47CEFE50"/>
    <w:rsid w:val="47D180CA"/>
    <w:rsid w:val="47D6AD1B"/>
    <w:rsid w:val="47D6FDDC"/>
    <w:rsid w:val="47D75FCE"/>
    <w:rsid w:val="47DF65A4"/>
    <w:rsid w:val="47EEDC38"/>
    <w:rsid w:val="47EEE286"/>
    <w:rsid w:val="480A8FEB"/>
    <w:rsid w:val="480D8BE8"/>
    <w:rsid w:val="4825C73D"/>
    <w:rsid w:val="4828265E"/>
    <w:rsid w:val="4849F9A3"/>
    <w:rsid w:val="484B65B1"/>
    <w:rsid w:val="484CA15F"/>
    <w:rsid w:val="4850D279"/>
    <w:rsid w:val="486CEA3C"/>
    <w:rsid w:val="4879516D"/>
    <w:rsid w:val="48817BBE"/>
    <w:rsid w:val="4886EEA5"/>
    <w:rsid w:val="488C6446"/>
    <w:rsid w:val="4894246C"/>
    <w:rsid w:val="48C38631"/>
    <w:rsid w:val="48E442B5"/>
    <w:rsid w:val="48E7B650"/>
    <w:rsid w:val="48FA85FA"/>
    <w:rsid w:val="48FC8F0B"/>
    <w:rsid w:val="490ADDFD"/>
    <w:rsid w:val="49110311"/>
    <w:rsid w:val="4916D97F"/>
    <w:rsid w:val="493FE14B"/>
    <w:rsid w:val="494B0CC2"/>
    <w:rsid w:val="4971AF59"/>
    <w:rsid w:val="498C7AC2"/>
    <w:rsid w:val="49A3D27F"/>
    <w:rsid w:val="49BD2E3B"/>
    <w:rsid w:val="49BDCA59"/>
    <w:rsid w:val="49ECC5BF"/>
    <w:rsid w:val="49F12BBB"/>
    <w:rsid w:val="49F6125E"/>
    <w:rsid w:val="49FE49EA"/>
    <w:rsid w:val="4A02A7D6"/>
    <w:rsid w:val="4A07AA6E"/>
    <w:rsid w:val="4A0CC5ED"/>
    <w:rsid w:val="4A0F6906"/>
    <w:rsid w:val="4A305271"/>
    <w:rsid w:val="4A347DE4"/>
    <w:rsid w:val="4A44D023"/>
    <w:rsid w:val="4A4CCADA"/>
    <w:rsid w:val="4A5AF394"/>
    <w:rsid w:val="4A64080B"/>
    <w:rsid w:val="4A72CB03"/>
    <w:rsid w:val="4A7B080E"/>
    <w:rsid w:val="4A99E1CF"/>
    <w:rsid w:val="4AAD0C8F"/>
    <w:rsid w:val="4AB1C1E8"/>
    <w:rsid w:val="4AB8E1A7"/>
    <w:rsid w:val="4AD0756F"/>
    <w:rsid w:val="4ADA05AE"/>
    <w:rsid w:val="4AEAEDD7"/>
    <w:rsid w:val="4AF03EBE"/>
    <w:rsid w:val="4B067696"/>
    <w:rsid w:val="4B21AEBD"/>
    <w:rsid w:val="4B30D367"/>
    <w:rsid w:val="4B3E3DA4"/>
    <w:rsid w:val="4B4C94C1"/>
    <w:rsid w:val="4B4F00D5"/>
    <w:rsid w:val="4B52C865"/>
    <w:rsid w:val="4B5B7390"/>
    <w:rsid w:val="4B7FD323"/>
    <w:rsid w:val="4B9E8A78"/>
    <w:rsid w:val="4BAC5B82"/>
    <w:rsid w:val="4BC27751"/>
    <w:rsid w:val="4BCFF10C"/>
    <w:rsid w:val="4BFCB675"/>
    <w:rsid w:val="4C163580"/>
    <w:rsid w:val="4C3D5176"/>
    <w:rsid w:val="4C4F98A2"/>
    <w:rsid w:val="4C50B44B"/>
    <w:rsid w:val="4C66BAA6"/>
    <w:rsid w:val="4C9F9436"/>
    <w:rsid w:val="4CE22918"/>
    <w:rsid w:val="4CF44B1B"/>
    <w:rsid w:val="4D116E78"/>
    <w:rsid w:val="4D2B2FB3"/>
    <w:rsid w:val="4D36A228"/>
    <w:rsid w:val="4D3CDBFD"/>
    <w:rsid w:val="4D522E08"/>
    <w:rsid w:val="4D6A53E1"/>
    <w:rsid w:val="4D7E67ED"/>
    <w:rsid w:val="4D98F4ED"/>
    <w:rsid w:val="4DAC262D"/>
    <w:rsid w:val="4DADFFDB"/>
    <w:rsid w:val="4DB11212"/>
    <w:rsid w:val="4DC6D42C"/>
    <w:rsid w:val="4DCA6844"/>
    <w:rsid w:val="4DD11489"/>
    <w:rsid w:val="4DD9C268"/>
    <w:rsid w:val="4DE3AB13"/>
    <w:rsid w:val="4DF18960"/>
    <w:rsid w:val="4E0C6EE0"/>
    <w:rsid w:val="4E16CBE5"/>
    <w:rsid w:val="4E23CCAA"/>
    <w:rsid w:val="4E47D83C"/>
    <w:rsid w:val="4E4E8C02"/>
    <w:rsid w:val="4E4ECA6A"/>
    <w:rsid w:val="4E531E50"/>
    <w:rsid w:val="4E58E02E"/>
    <w:rsid w:val="4E66F2C8"/>
    <w:rsid w:val="4E76E6F5"/>
    <w:rsid w:val="4E7FA88F"/>
    <w:rsid w:val="4E92406A"/>
    <w:rsid w:val="4E970956"/>
    <w:rsid w:val="4EA78E98"/>
    <w:rsid w:val="4EA7C400"/>
    <w:rsid w:val="4EBAFD37"/>
    <w:rsid w:val="4ED44AA5"/>
    <w:rsid w:val="4EF86080"/>
    <w:rsid w:val="4EFD48FE"/>
    <w:rsid w:val="4F2C4D7A"/>
    <w:rsid w:val="4F38C3CF"/>
    <w:rsid w:val="4F50033F"/>
    <w:rsid w:val="4F7162A1"/>
    <w:rsid w:val="4F7DE04E"/>
    <w:rsid w:val="4FAB9B7F"/>
    <w:rsid w:val="4FB97BA4"/>
    <w:rsid w:val="4FC03307"/>
    <w:rsid w:val="4FDA49EE"/>
    <w:rsid w:val="4FDBF31E"/>
    <w:rsid w:val="4FE8C53D"/>
    <w:rsid w:val="4FED8E61"/>
    <w:rsid w:val="4FF1D7DD"/>
    <w:rsid w:val="500637E0"/>
    <w:rsid w:val="500863A5"/>
    <w:rsid w:val="501755F0"/>
    <w:rsid w:val="5020EA43"/>
    <w:rsid w:val="503FE779"/>
    <w:rsid w:val="50575FC9"/>
    <w:rsid w:val="5059F21D"/>
    <w:rsid w:val="5080526B"/>
    <w:rsid w:val="508EA2C2"/>
    <w:rsid w:val="50906192"/>
    <w:rsid w:val="50A2BD3E"/>
    <w:rsid w:val="50A3BF68"/>
    <w:rsid w:val="50AFEEF7"/>
    <w:rsid w:val="50C774EF"/>
    <w:rsid w:val="50DAFB70"/>
    <w:rsid w:val="50E286A3"/>
    <w:rsid w:val="50E8B478"/>
    <w:rsid w:val="50E8CF4D"/>
    <w:rsid w:val="50EA3D95"/>
    <w:rsid w:val="50EBF003"/>
    <w:rsid w:val="50FB7B09"/>
    <w:rsid w:val="51190746"/>
    <w:rsid w:val="511BF353"/>
    <w:rsid w:val="5139420C"/>
    <w:rsid w:val="513A2BC9"/>
    <w:rsid w:val="513C74F4"/>
    <w:rsid w:val="515C8E70"/>
    <w:rsid w:val="51704238"/>
    <w:rsid w:val="5172ECB6"/>
    <w:rsid w:val="5176DF47"/>
    <w:rsid w:val="518B91D4"/>
    <w:rsid w:val="51943165"/>
    <w:rsid w:val="51A59572"/>
    <w:rsid w:val="51A6C508"/>
    <w:rsid w:val="51A8BDFE"/>
    <w:rsid w:val="51C876E6"/>
    <w:rsid w:val="51D5A3ED"/>
    <w:rsid w:val="51D984BE"/>
    <w:rsid w:val="51F59CF5"/>
    <w:rsid w:val="520CD8D9"/>
    <w:rsid w:val="5224EEBC"/>
    <w:rsid w:val="522F8779"/>
    <w:rsid w:val="52353790"/>
    <w:rsid w:val="523F82E7"/>
    <w:rsid w:val="5244AB5E"/>
    <w:rsid w:val="524FA9B5"/>
    <w:rsid w:val="525A29BF"/>
    <w:rsid w:val="525B12EC"/>
    <w:rsid w:val="5262C6BB"/>
    <w:rsid w:val="528CCEBA"/>
    <w:rsid w:val="52906799"/>
    <w:rsid w:val="5297D904"/>
    <w:rsid w:val="52A1FD0C"/>
    <w:rsid w:val="52AADE9A"/>
    <w:rsid w:val="52C15C8A"/>
    <w:rsid w:val="52CD3348"/>
    <w:rsid w:val="52F191FD"/>
    <w:rsid w:val="53282D64"/>
    <w:rsid w:val="532967FC"/>
    <w:rsid w:val="533352BC"/>
    <w:rsid w:val="533C7D55"/>
    <w:rsid w:val="533F1320"/>
    <w:rsid w:val="533F9A35"/>
    <w:rsid w:val="53422F89"/>
    <w:rsid w:val="53654657"/>
    <w:rsid w:val="5368D458"/>
    <w:rsid w:val="537C0F7F"/>
    <w:rsid w:val="5381E782"/>
    <w:rsid w:val="53839428"/>
    <w:rsid w:val="538B96CE"/>
    <w:rsid w:val="53931C21"/>
    <w:rsid w:val="53960547"/>
    <w:rsid w:val="539ED4D2"/>
    <w:rsid w:val="53A2839A"/>
    <w:rsid w:val="53BE83AE"/>
    <w:rsid w:val="53C41FDA"/>
    <w:rsid w:val="53D2E13A"/>
    <w:rsid w:val="53DB602A"/>
    <w:rsid w:val="5404820B"/>
    <w:rsid w:val="541587D0"/>
    <w:rsid w:val="5435F263"/>
    <w:rsid w:val="543709EE"/>
    <w:rsid w:val="543F346C"/>
    <w:rsid w:val="5449BE7C"/>
    <w:rsid w:val="544A9A3D"/>
    <w:rsid w:val="545D1697"/>
    <w:rsid w:val="54784AE2"/>
    <w:rsid w:val="547F1182"/>
    <w:rsid w:val="5481A709"/>
    <w:rsid w:val="5484A705"/>
    <w:rsid w:val="5493F533"/>
    <w:rsid w:val="549C6C2D"/>
    <w:rsid w:val="54BF45FA"/>
    <w:rsid w:val="54D8E415"/>
    <w:rsid w:val="54E1C5DE"/>
    <w:rsid w:val="54FB591B"/>
    <w:rsid w:val="54FEB5AB"/>
    <w:rsid w:val="54FF50D6"/>
    <w:rsid w:val="5517FACA"/>
    <w:rsid w:val="551FBA49"/>
    <w:rsid w:val="5525AA4D"/>
    <w:rsid w:val="552F1B43"/>
    <w:rsid w:val="554FEAAD"/>
    <w:rsid w:val="5557F8FA"/>
    <w:rsid w:val="55584D1A"/>
    <w:rsid w:val="556C9869"/>
    <w:rsid w:val="5570A1A2"/>
    <w:rsid w:val="557334EA"/>
    <w:rsid w:val="5573DFCD"/>
    <w:rsid w:val="558BD77D"/>
    <w:rsid w:val="5590DA4C"/>
    <w:rsid w:val="559BAF36"/>
    <w:rsid w:val="55BAEAD2"/>
    <w:rsid w:val="55BD7D22"/>
    <w:rsid w:val="55BD8800"/>
    <w:rsid w:val="55C386DE"/>
    <w:rsid w:val="55E2ED26"/>
    <w:rsid w:val="55E602FA"/>
    <w:rsid w:val="55EC7F2B"/>
    <w:rsid w:val="55F34588"/>
    <w:rsid w:val="5608EFE3"/>
    <w:rsid w:val="560D9CEC"/>
    <w:rsid w:val="56348283"/>
    <w:rsid w:val="5660C0EF"/>
    <w:rsid w:val="566297AE"/>
    <w:rsid w:val="566AF37E"/>
    <w:rsid w:val="566DDEE9"/>
    <w:rsid w:val="567AF3F9"/>
    <w:rsid w:val="567DC9C5"/>
    <w:rsid w:val="56BEAD1C"/>
    <w:rsid w:val="56C8EB6E"/>
    <w:rsid w:val="56D58F34"/>
    <w:rsid w:val="56DFC088"/>
    <w:rsid w:val="56FB4C5C"/>
    <w:rsid w:val="56FCFA83"/>
    <w:rsid w:val="5714CAEE"/>
    <w:rsid w:val="571E57D9"/>
    <w:rsid w:val="5726603E"/>
    <w:rsid w:val="572699FA"/>
    <w:rsid w:val="5737E57A"/>
    <w:rsid w:val="573E9714"/>
    <w:rsid w:val="5742898A"/>
    <w:rsid w:val="57450CAE"/>
    <w:rsid w:val="574A4129"/>
    <w:rsid w:val="574F3978"/>
    <w:rsid w:val="57520942"/>
    <w:rsid w:val="57541CA1"/>
    <w:rsid w:val="5754D285"/>
    <w:rsid w:val="575E3A24"/>
    <w:rsid w:val="57820B37"/>
    <w:rsid w:val="578E27B6"/>
    <w:rsid w:val="57B37D41"/>
    <w:rsid w:val="57C2BAFB"/>
    <w:rsid w:val="57C72AF9"/>
    <w:rsid w:val="57F4275D"/>
    <w:rsid w:val="57F4D1DE"/>
    <w:rsid w:val="57F9C90F"/>
    <w:rsid w:val="581902A2"/>
    <w:rsid w:val="58370E7E"/>
    <w:rsid w:val="58594A4B"/>
    <w:rsid w:val="585F761E"/>
    <w:rsid w:val="587864F3"/>
    <w:rsid w:val="587AE3B6"/>
    <w:rsid w:val="587B90E9"/>
    <w:rsid w:val="5880DBF9"/>
    <w:rsid w:val="58886F34"/>
    <w:rsid w:val="58A19EA5"/>
    <w:rsid w:val="58A2C20F"/>
    <w:rsid w:val="58AA4D7F"/>
    <w:rsid w:val="58BB77AA"/>
    <w:rsid w:val="58DA6775"/>
    <w:rsid w:val="58FE2B4E"/>
    <w:rsid w:val="590262E4"/>
    <w:rsid w:val="59095AE0"/>
    <w:rsid w:val="5919A1BE"/>
    <w:rsid w:val="59675DEE"/>
    <w:rsid w:val="5974E3E7"/>
    <w:rsid w:val="5978A39A"/>
    <w:rsid w:val="5987CC35"/>
    <w:rsid w:val="5992264E"/>
    <w:rsid w:val="599ED719"/>
    <w:rsid w:val="59A29440"/>
    <w:rsid w:val="59BEA1BD"/>
    <w:rsid w:val="59BFCB9A"/>
    <w:rsid w:val="59E2545D"/>
    <w:rsid w:val="59F4679B"/>
    <w:rsid w:val="59F76D4E"/>
    <w:rsid w:val="5A067A77"/>
    <w:rsid w:val="5A07E2C4"/>
    <w:rsid w:val="5A07F149"/>
    <w:rsid w:val="5A1BAF4F"/>
    <w:rsid w:val="5A459D67"/>
    <w:rsid w:val="5A5AFA80"/>
    <w:rsid w:val="5A8C8C9D"/>
    <w:rsid w:val="5A966F34"/>
    <w:rsid w:val="5A990EDA"/>
    <w:rsid w:val="5A9B0B64"/>
    <w:rsid w:val="5AA838EA"/>
    <w:rsid w:val="5ABDB931"/>
    <w:rsid w:val="5AC089FF"/>
    <w:rsid w:val="5ADFFD14"/>
    <w:rsid w:val="5AE87206"/>
    <w:rsid w:val="5B1322A7"/>
    <w:rsid w:val="5B3E64A1"/>
    <w:rsid w:val="5B40750C"/>
    <w:rsid w:val="5B47E29C"/>
    <w:rsid w:val="5B5D5783"/>
    <w:rsid w:val="5B877459"/>
    <w:rsid w:val="5B8C7E30"/>
    <w:rsid w:val="5BB2A556"/>
    <w:rsid w:val="5BCDC1C0"/>
    <w:rsid w:val="5BED44EB"/>
    <w:rsid w:val="5C0F5A0C"/>
    <w:rsid w:val="5C28D555"/>
    <w:rsid w:val="5C40537E"/>
    <w:rsid w:val="5C464012"/>
    <w:rsid w:val="5C551456"/>
    <w:rsid w:val="5C5EFCDD"/>
    <w:rsid w:val="5C5F5AC5"/>
    <w:rsid w:val="5C698471"/>
    <w:rsid w:val="5C6A2C73"/>
    <w:rsid w:val="5C84D8E7"/>
    <w:rsid w:val="5C9D3F7A"/>
    <w:rsid w:val="5CA1DECF"/>
    <w:rsid w:val="5CAB98F6"/>
    <w:rsid w:val="5CC2CE51"/>
    <w:rsid w:val="5CCB0FD6"/>
    <w:rsid w:val="5CD2852F"/>
    <w:rsid w:val="5CDD7139"/>
    <w:rsid w:val="5CE3FF5C"/>
    <w:rsid w:val="5CF3BBE2"/>
    <w:rsid w:val="5CF496F3"/>
    <w:rsid w:val="5D024A36"/>
    <w:rsid w:val="5D083911"/>
    <w:rsid w:val="5D0EBFF1"/>
    <w:rsid w:val="5D1584D3"/>
    <w:rsid w:val="5D161A4E"/>
    <w:rsid w:val="5D181987"/>
    <w:rsid w:val="5D1BC733"/>
    <w:rsid w:val="5D411E73"/>
    <w:rsid w:val="5D76E85C"/>
    <w:rsid w:val="5D7F88C2"/>
    <w:rsid w:val="5D9D7D87"/>
    <w:rsid w:val="5DA16145"/>
    <w:rsid w:val="5DA473B4"/>
    <w:rsid w:val="5DADD898"/>
    <w:rsid w:val="5DB07AFA"/>
    <w:rsid w:val="5DBC84EF"/>
    <w:rsid w:val="5DC18340"/>
    <w:rsid w:val="5DECC988"/>
    <w:rsid w:val="5DF3011A"/>
    <w:rsid w:val="5E0AB9F7"/>
    <w:rsid w:val="5E36A234"/>
    <w:rsid w:val="5E40FC66"/>
    <w:rsid w:val="5E420EB0"/>
    <w:rsid w:val="5E430BF4"/>
    <w:rsid w:val="5E7EE04D"/>
    <w:rsid w:val="5E895832"/>
    <w:rsid w:val="5EB73B78"/>
    <w:rsid w:val="5EC66450"/>
    <w:rsid w:val="5ED5D624"/>
    <w:rsid w:val="5EEDC3A6"/>
    <w:rsid w:val="5EF2E52A"/>
    <w:rsid w:val="5F006458"/>
    <w:rsid w:val="5F089C82"/>
    <w:rsid w:val="5F1A4BC9"/>
    <w:rsid w:val="5F597A48"/>
    <w:rsid w:val="5F5996E2"/>
    <w:rsid w:val="5F6B0957"/>
    <w:rsid w:val="5F7DB555"/>
    <w:rsid w:val="5F85AF5B"/>
    <w:rsid w:val="5FA79B29"/>
    <w:rsid w:val="5FA827D4"/>
    <w:rsid w:val="5FD8884E"/>
    <w:rsid w:val="60028097"/>
    <w:rsid w:val="6015D8A3"/>
    <w:rsid w:val="601BD3F8"/>
    <w:rsid w:val="60381D39"/>
    <w:rsid w:val="603B600E"/>
    <w:rsid w:val="606FEF19"/>
    <w:rsid w:val="609F025E"/>
    <w:rsid w:val="60AEA7FA"/>
    <w:rsid w:val="60B650F6"/>
    <w:rsid w:val="60C2954B"/>
    <w:rsid w:val="60FC7579"/>
    <w:rsid w:val="6104562A"/>
    <w:rsid w:val="6112EA0E"/>
    <w:rsid w:val="61428F65"/>
    <w:rsid w:val="61522222"/>
    <w:rsid w:val="61538ED5"/>
    <w:rsid w:val="6153D2F9"/>
    <w:rsid w:val="615C4457"/>
    <w:rsid w:val="616FB8E9"/>
    <w:rsid w:val="6170FDA7"/>
    <w:rsid w:val="617808B8"/>
    <w:rsid w:val="61995980"/>
    <w:rsid w:val="61D708C7"/>
    <w:rsid w:val="61E2DEBE"/>
    <w:rsid w:val="61E616A3"/>
    <w:rsid w:val="61EA0EB7"/>
    <w:rsid w:val="61F8F1EB"/>
    <w:rsid w:val="61FB99B6"/>
    <w:rsid w:val="6202EFA2"/>
    <w:rsid w:val="6204A9E8"/>
    <w:rsid w:val="6211C1CC"/>
    <w:rsid w:val="6245905C"/>
    <w:rsid w:val="624AF491"/>
    <w:rsid w:val="626912E5"/>
    <w:rsid w:val="62692170"/>
    <w:rsid w:val="627C1ACC"/>
    <w:rsid w:val="628429EF"/>
    <w:rsid w:val="629504C1"/>
    <w:rsid w:val="62AB6E7A"/>
    <w:rsid w:val="62CA7914"/>
    <w:rsid w:val="62D44152"/>
    <w:rsid w:val="62DA09AB"/>
    <w:rsid w:val="62E33556"/>
    <w:rsid w:val="62F934D7"/>
    <w:rsid w:val="63276F51"/>
    <w:rsid w:val="63399252"/>
    <w:rsid w:val="633D2EE0"/>
    <w:rsid w:val="634328AE"/>
    <w:rsid w:val="634523BF"/>
    <w:rsid w:val="6349887B"/>
    <w:rsid w:val="635950AB"/>
    <w:rsid w:val="635D10D0"/>
    <w:rsid w:val="63620F8E"/>
    <w:rsid w:val="63976CA4"/>
    <w:rsid w:val="63A6A528"/>
    <w:rsid w:val="63B8279D"/>
    <w:rsid w:val="63C35DC4"/>
    <w:rsid w:val="63F3E8C7"/>
    <w:rsid w:val="640A4E44"/>
    <w:rsid w:val="6411703D"/>
    <w:rsid w:val="64128BFA"/>
    <w:rsid w:val="641A2BE6"/>
    <w:rsid w:val="64867634"/>
    <w:rsid w:val="6490F410"/>
    <w:rsid w:val="649905F6"/>
    <w:rsid w:val="64B2139A"/>
    <w:rsid w:val="64DBE015"/>
    <w:rsid w:val="650C8301"/>
    <w:rsid w:val="6529DA06"/>
    <w:rsid w:val="6530028C"/>
    <w:rsid w:val="653B2A8B"/>
    <w:rsid w:val="653D6CF7"/>
    <w:rsid w:val="65412026"/>
    <w:rsid w:val="65460BEF"/>
    <w:rsid w:val="6559064D"/>
    <w:rsid w:val="65601997"/>
    <w:rsid w:val="65731B80"/>
    <w:rsid w:val="6587DF0F"/>
    <w:rsid w:val="658F470C"/>
    <w:rsid w:val="65A1CD0C"/>
    <w:rsid w:val="65B2AE03"/>
    <w:rsid w:val="65BB4E5B"/>
    <w:rsid w:val="6621B246"/>
    <w:rsid w:val="6627B11A"/>
    <w:rsid w:val="66323CB3"/>
    <w:rsid w:val="663250D4"/>
    <w:rsid w:val="663D0D24"/>
    <w:rsid w:val="66466394"/>
    <w:rsid w:val="664BB7E7"/>
    <w:rsid w:val="664BE342"/>
    <w:rsid w:val="6689A35E"/>
    <w:rsid w:val="668B8E60"/>
    <w:rsid w:val="6695BEAD"/>
    <w:rsid w:val="6695E13E"/>
    <w:rsid w:val="66AB9D82"/>
    <w:rsid w:val="66ABEA18"/>
    <w:rsid w:val="66BA4988"/>
    <w:rsid w:val="66C4E8B7"/>
    <w:rsid w:val="66DA1DA1"/>
    <w:rsid w:val="66DA2357"/>
    <w:rsid w:val="66DC84E0"/>
    <w:rsid w:val="66E0D90D"/>
    <w:rsid w:val="66E3D229"/>
    <w:rsid w:val="66EA7915"/>
    <w:rsid w:val="66EF72E5"/>
    <w:rsid w:val="66FF0AB8"/>
    <w:rsid w:val="6717F40A"/>
    <w:rsid w:val="67315167"/>
    <w:rsid w:val="675817AB"/>
    <w:rsid w:val="67664C4F"/>
    <w:rsid w:val="6770196B"/>
    <w:rsid w:val="67CF1BB1"/>
    <w:rsid w:val="67D29197"/>
    <w:rsid w:val="67D4A301"/>
    <w:rsid w:val="67DC9041"/>
    <w:rsid w:val="67EF2E82"/>
    <w:rsid w:val="67F0DE26"/>
    <w:rsid w:val="67F7760F"/>
    <w:rsid w:val="6840BEFF"/>
    <w:rsid w:val="685749B5"/>
    <w:rsid w:val="6858B754"/>
    <w:rsid w:val="6888974A"/>
    <w:rsid w:val="6891E755"/>
    <w:rsid w:val="68935035"/>
    <w:rsid w:val="68977550"/>
    <w:rsid w:val="689E2181"/>
    <w:rsid w:val="68B43871"/>
    <w:rsid w:val="68CEE7F1"/>
    <w:rsid w:val="68EA63FE"/>
    <w:rsid w:val="6903C67D"/>
    <w:rsid w:val="690D4217"/>
    <w:rsid w:val="692354C4"/>
    <w:rsid w:val="692DE23D"/>
    <w:rsid w:val="69433808"/>
    <w:rsid w:val="6945F146"/>
    <w:rsid w:val="694DE0EB"/>
    <w:rsid w:val="695321BC"/>
    <w:rsid w:val="6962B8FC"/>
    <w:rsid w:val="6990EFC6"/>
    <w:rsid w:val="6995372C"/>
    <w:rsid w:val="699E80C4"/>
    <w:rsid w:val="69ADCE4E"/>
    <w:rsid w:val="69D16074"/>
    <w:rsid w:val="6A042923"/>
    <w:rsid w:val="6A0852C8"/>
    <w:rsid w:val="6A3A16DE"/>
    <w:rsid w:val="6A4DBB63"/>
    <w:rsid w:val="6A4DC299"/>
    <w:rsid w:val="6A7D6F26"/>
    <w:rsid w:val="6A847484"/>
    <w:rsid w:val="6A97C740"/>
    <w:rsid w:val="6A9F9C1D"/>
    <w:rsid w:val="6AA2C986"/>
    <w:rsid w:val="6ABB1FB7"/>
    <w:rsid w:val="6AD6397B"/>
    <w:rsid w:val="6AE66A5D"/>
    <w:rsid w:val="6AF4E7CF"/>
    <w:rsid w:val="6AF99476"/>
    <w:rsid w:val="6AFA4A36"/>
    <w:rsid w:val="6B38003E"/>
    <w:rsid w:val="6B3B600E"/>
    <w:rsid w:val="6B450FDD"/>
    <w:rsid w:val="6B5EB3F2"/>
    <w:rsid w:val="6B976C52"/>
    <w:rsid w:val="6B9A7E71"/>
    <w:rsid w:val="6BA29728"/>
    <w:rsid w:val="6BAA6C0F"/>
    <w:rsid w:val="6BB96E75"/>
    <w:rsid w:val="6BBB80C8"/>
    <w:rsid w:val="6BBF7F9D"/>
    <w:rsid w:val="6BCDB8B7"/>
    <w:rsid w:val="6BD14B00"/>
    <w:rsid w:val="6BE3FA58"/>
    <w:rsid w:val="6BE65D60"/>
    <w:rsid w:val="6C06163E"/>
    <w:rsid w:val="6C11F929"/>
    <w:rsid w:val="6C2B297D"/>
    <w:rsid w:val="6C32E29D"/>
    <w:rsid w:val="6C3E62B6"/>
    <w:rsid w:val="6C40057B"/>
    <w:rsid w:val="6C5050E5"/>
    <w:rsid w:val="6C5FC1A4"/>
    <w:rsid w:val="6C648476"/>
    <w:rsid w:val="6C8D2224"/>
    <w:rsid w:val="6C94965B"/>
    <w:rsid w:val="6CA2DD2A"/>
    <w:rsid w:val="6CA4AB70"/>
    <w:rsid w:val="6CA96079"/>
    <w:rsid w:val="6CB7ACD2"/>
    <w:rsid w:val="6D15B8F2"/>
    <w:rsid w:val="6D3BB3A3"/>
    <w:rsid w:val="6D4BD21E"/>
    <w:rsid w:val="6D4DEE30"/>
    <w:rsid w:val="6D6240A4"/>
    <w:rsid w:val="6D6905B4"/>
    <w:rsid w:val="6D93A3DA"/>
    <w:rsid w:val="6DB3B312"/>
    <w:rsid w:val="6DBE4420"/>
    <w:rsid w:val="6DC9689B"/>
    <w:rsid w:val="6DDD2423"/>
    <w:rsid w:val="6DEAAA95"/>
    <w:rsid w:val="6DEC64E7"/>
    <w:rsid w:val="6DF1C4FB"/>
    <w:rsid w:val="6DF46DE8"/>
    <w:rsid w:val="6E0DF941"/>
    <w:rsid w:val="6E19A3AF"/>
    <w:rsid w:val="6E1B645F"/>
    <w:rsid w:val="6E332AE2"/>
    <w:rsid w:val="6E3C4990"/>
    <w:rsid w:val="6E3E0853"/>
    <w:rsid w:val="6E6EE2AF"/>
    <w:rsid w:val="6E786C55"/>
    <w:rsid w:val="6E906E73"/>
    <w:rsid w:val="6EA0F112"/>
    <w:rsid w:val="6EEB0D22"/>
    <w:rsid w:val="6EF64A15"/>
    <w:rsid w:val="6F1080B7"/>
    <w:rsid w:val="6F15CCA7"/>
    <w:rsid w:val="6F1EDDBB"/>
    <w:rsid w:val="6F1F1DAD"/>
    <w:rsid w:val="6F2B18CE"/>
    <w:rsid w:val="6F3692AF"/>
    <w:rsid w:val="6F46E3D2"/>
    <w:rsid w:val="6F4A5024"/>
    <w:rsid w:val="6F520D4B"/>
    <w:rsid w:val="6F61AA8E"/>
    <w:rsid w:val="6F657B9A"/>
    <w:rsid w:val="6F73657A"/>
    <w:rsid w:val="6F811668"/>
    <w:rsid w:val="6F832364"/>
    <w:rsid w:val="6F8C6E1E"/>
    <w:rsid w:val="6FAD76F9"/>
    <w:rsid w:val="6FDA194C"/>
    <w:rsid w:val="7005388A"/>
    <w:rsid w:val="70210561"/>
    <w:rsid w:val="702A2B2C"/>
    <w:rsid w:val="7059C140"/>
    <w:rsid w:val="70615B56"/>
    <w:rsid w:val="70679D34"/>
    <w:rsid w:val="706F84C3"/>
    <w:rsid w:val="708065FA"/>
    <w:rsid w:val="708C3EBA"/>
    <w:rsid w:val="709B47AB"/>
    <w:rsid w:val="70C40058"/>
    <w:rsid w:val="70DD83CC"/>
    <w:rsid w:val="70E6AF91"/>
    <w:rsid w:val="712332F2"/>
    <w:rsid w:val="714C15F0"/>
    <w:rsid w:val="714FCFD3"/>
    <w:rsid w:val="716900C8"/>
    <w:rsid w:val="71882D79"/>
    <w:rsid w:val="719B1D4F"/>
    <w:rsid w:val="71BD2EC1"/>
    <w:rsid w:val="71CAEA72"/>
    <w:rsid w:val="71DECA1F"/>
    <w:rsid w:val="71E94AF6"/>
    <w:rsid w:val="71FD4CF2"/>
    <w:rsid w:val="720CB02B"/>
    <w:rsid w:val="7216F7BC"/>
    <w:rsid w:val="722F31BC"/>
    <w:rsid w:val="722FBB11"/>
    <w:rsid w:val="72323B35"/>
    <w:rsid w:val="7234B681"/>
    <w:rsid w:val="724E5349"/>
    <w:rsid w:val="72558405"/>
    <w:rsid w:val="7259A9F3"/>
    <w:rsid w:val="7260BC07"/>
    <w:rsid w:val="727B8828"/>
    <w:rsid w:val="727EB46F"/>
    <w:rsid w:val="72880947"/>
    <w:rsid w:val="7295F3B9"/>
    <w:rsid w:val="72AB063C"/>
    <w:rsid w:val="72B494E9"/>
    <w:rsid w:val="72FB25F7"/>
    <w:rsid w:val="72FF5A63"/>
    <w:rsid w:val="73003DCF"/>
    <w:rsid w:val="73016E42"/>
    <w:rsid w:val="73038A48"/>
    <w:rsid w:val="730DBEF4"/>
    <w:rsid w:val="732D05B2"/>
    <w:rsid w:val="73484A23"/>
    <w:rsid w:val="735F92B0"/>
    <w:rsid w:val="73755E2D"/>
    <w:rsid w:val="738AB37A"/>
    <w:rsid w:val="739B6AA1"/>
    <w:rsid w:val="73BDC062"/>
    <w:rsid w:val="73E0C912"/>
    <w:rsid w:val="73E950D2"/>
    <w:rsid w:val="73FF5D36"/>
    <w:rsid w:val="7409B760"/>
    <w:rsid w:val="740DE92F"/>
    <w:rsid w:val="742473BF"/>
    <w:rsid w:val="742D81C3"/>
    <w:rsid w:val="746FDD86"/>
    <w:rsid w:val="747D08BD"/>
    <w:rsid w:val="74B1A6CE"/>
    <w:rsid w:val="74BE8C47"/>
    <w:rsid w:val="74F6810E"/>
    <w:rsid w:val="75009CB8"/>
    <w:rsid w:val="7506750B"/>
    <w:rsid w:val="7513BC53"/>
    <w:rsid w:val="752E0FDA"/>
    <w:rsid w:val="752E88EA"/>
    <w:rsid w:val="75358EB1"/>
    <w:rsid w:val="754CC96C"/>
    <w:rsid w:val="757AADCA"/>
    <w:rsid w:val="757D0469"/>
    <w:rsid w:val="759292E2"/>
    <w:rsid w:val="759EBC38"/>
    <w:rsid w:val="75A52BF3"/>
    <w:rsid w:val="75BF47EA"/>
    <w:rsid w:val="75E2A6FE"/>
    <w:rsid w:val="76114344"/>
    <w:rsid w:val="76146E44"/>
    <w:rsid w:val="7623CF49"/>
    <w:rsid w:val="7624969D"/>
    <w:rsid w:val="765C8C26"/>
    <w:rsid w:val="766E38E7"/>
    <w:rsid w:val="7690C113"/>
    <w:rsid w:val="769E4554"/>
    <w:rsid w:val="76B85BE4"/>
    <w:rsid w:val="76C3FFFB"/>
    <w:rsid w:val="76ED1EB6"/>
    <w:rsid w:val="76FF79EF"/>
    <w:rsid w:val="771E5F56"/>
    <w:rsid w:val="7723EE62"/>
    <w:rsid w:val="7726D3BB"/>
    <w:rsid w:val="7735374D"/>
    <w:rsid w:val="77417B86"/>
    <w:rsid w:val="774EB30A"/>
    <w:rsid w:val="7757E244"/>
    <w:rsid w:val="77650C5C"/>
    <w:rsid w:val="7769CAE1"/>
    <w:rsid w:val="776B8676"/>
    <w:rsid w:val="776D08AB"/>
    <w:rsid w:val="7791242B"/>
    <w:rsid w:val="77BBAF70"/>
    <w:rsid w:val="77C83DD9"/>
    <w:rsid w:val="77D707E5"/>
    <w:rsid w:val="77DE65DD"/>
    <w:rsid w:val="77E9972B"/>
    <w:rsid w:val="77F9B0C5"/>
    <w:rsid w:val="77FA044F"/>
    <w:rsid w:val="77FD443D"/>
    <w:rsid w:val="77FEADFE"/>
    <w:rsid w:val="780A6C06"/>
    <w:rsid w:val="7816DDBA"/>
    <w:rsid w:val="782FB118"/>
    <w:rsid w:val="7847D0D0"/>
    <w:rsid w:val="78553E94"/>
    <w:rsid w:val="785B20E2"/>
    <w:rsid w:val="78743DB2"/>
    <w:rsid w:val="788AFF78"/>
    <w:rsid w:val="7897271A"/>
    <w:rsid w:val="789FC6A3"/>
    <w:rsid w:val="78D71FE3"/>
    <w:rsid w:val="790D3243"/>
    <w:rsid w:val="7920C1A4"/>
    <w:rsid w:val="7925AFB9"/>
    <w:rsid w:val="792B0EB0"/>
    <w:rsid w:val="79604E85"/>
    <w:rsid w:val="79605235"/>
    <w:rsid w:val="798BC38E"/>
    <w:rsid w:val="799B56AA"/>
    <w:rsid w:val="79B157C0"/>
    <w:rsid w:val="79C912C9"/>
    <w:rsid w:val="7A03B5E7"/>
    <w:rsid w:val="7A07230A"/>
    <w:rsid w:val="7A0E23BD"/>
    <w:rsid w:val="7A1DD38C"/>
    <w:rsid w:val="7A240B42"/>
    <w:rsid w:val="7A2BEB95"/>
    <w:rsid w:val="7A3CB800"/>
    <w:rsid w:val="7AA02DCF"/>
    <w:rsid w:val="7AC0AD9E"/>
    <w:rsid w:val="7AC5325D"/>
    <w:rsid w:val="7AD86912"/>
    <w:rsid w:val="7ADE604D"/>
    <w:rsid w:val="7AE74F69"/>
    <w:rsid w:val="7B03B148"/>
    <w:rsid w:val="7B0491E7"/>
    <w:rsid w:val="7B0E3CB2"/>
    <w:rsid w:val="7B22E3DB"/>
    <w:rsid w:val="7B2BB0C1"/>
    <w:rsid w:val="7B2CA9CF"/>
    <w:rsid w:val="7B3E781F"/>
    <w:rsid w:val="7B5DB2F7"/>
    <w:rsid w:val="7B5F555F"/>
    <w:rsid w:val="7B807031"/>
    <w:rsid w:val="7B88C531"/>
    <w:rsid w:val="7B97A3D5"/>
    <w:rsid w:val="7B982632"/>
    <w:rsid w:val="7B9D1ACC"/>
    <w:rsid w:val="7BAAE20C"/>
    <w:rsid w:val="7BC0C0C0"/>
    <w:rsid w:val="7BE33C2F"/>
    <w:rsid w:val="7C14477D"/>
    <w:rsid w:val="7C2EEB63"/>
    <w:rsid w:val="7C3D3D96"/>
    <w:rsid w:val="7C3DB5C0"/>
    <w:rsid w:val="7C3EBD99"/>
    <w:rsid w:val="7C6868DD"/>
    <w:rsid w:val="7C7373B1"/>
    <w:rsid w:val="7C811BD8"/>
    <w:rsid w:val="7C829118"/>
    <w:rsid w:val="7CB452CC"/>
    <w:rsid w:val="7CC23100"/>
    <w:rsid w:val="7CD2FE45"/>
    <w:rsid w:val="7CE6A529"/>
    <w:rsid w:val="7CF2BFB2"/>
    <w:rsid w:val="7CF61111"/>
    <w:rsid w:val="7CFC9E46"/>
    <w:rsid w:val="7CFFD991"/>
    <w:rsid w:val="7D0E8D51"/>
    <w:rsid w:val="7D192EEC"/>
    <w:rsid w:val="7D197553"/>
    <w:rsid w:val="7D1A7873"/>
    <w:rsid w:val="7D206FCA"/>
    <w:rsid w:val="7D249592"/>
    <w:rsid w:val="7D2A8C62"/>
    <w:rsid w:val="7D43CB4E"/>
    <w:rsid w:val="7D4A0904"/>
    <w:rsid w:val="7D81604C"/>
    <w:rsid w:val="7D8FB55E"/>
    <w:rsid w:val="7DAE46CF"/>
    <w:rsid w:val="7DB4FAD7"/>
    <w:rsid w:val="7DB85751"/>
    <w:rsid w:val="7DC60A60"/>
    <w:rsid w:val="7DD26226"/>
    <w:rsid w:val="7DEEC5D2"/>
    <w:rsid w:val="7DF25098"/>
    <w:rsid w:val="7DF80401"/>
    <w:rsid w:val="7E031399"/>
    <w:rsid w:val="7E06E4E0"/>
    <w:rsid w:val="7E0E0AC9"/>
    <w:rsid w:val="7E3F77F9"/>
    <w:rsid w:val="7E4B0AEE"/>
    <w:rsid w:val="7E5AE5A5"/>
    <w:rsid w:val="7E63C8A1"/>
    <w:rsid w:val="7E849DDF"/>
    <w:rsid w:val="7E84C8E3"/>
    <w:rsid w:val="7E9ADB25"/>
    <w:rsid w:val="7EC40F8A"/>
    <w:rsid w:val="7EDC3137"/>
    <w:rsid w:val="7F27E574"/>
    <w:rsid w:val="7F53720E"/>
    <w:rsid w:val="7F8CEBED"/>
    <w:rsid w:val="7F8FD967"/>
    <w:rsid w:val="7F9BDA6F"/>
    <w:rsid w:val="7FA69EB3"/>
    <w:rsid w:val="7FAC6DAE"/>
    <w:rsid w:val="7FAE1956"/>
    <w:rsid w:val="7FEBF38E"/>
    <w:rsid w:val="7FF45C62"/>
    <w:rsid w:val="7FF7C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8D10D"/>
  <w15:chartTrackingRefBased/>
  <w15:docId w15:val="{84683E15-2322-49BB-B679-F742F10A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85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CC3852"/>
    <w:pPr>
      <w:keepNext/>
      <w:keepLines/>
      <w:spacing w:before="120" w:after="12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7B2EE3"/>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476DA1"/>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7D046E"/>
    <w:pPr>
      <w:keepNext/>
      <w:keepLines/>
      <w:spacing w:before="240" w:after="240"/>
      <w:outlineLvl w:val="3"/>
    </w:pPr>
    <w:rPr>
      <w:rFonts w:eastAsiaTheme="majorEastAsia" w:cstheme="majorBidi"/>
      <w:b/>
      <w:i/>
      <w:iCs/>
      <w:sz w:val="28"/>
    </w:rPr>
  </w:style>
  <w:style w:type="paragraph" w:styleId="Heading5">
    <w:name w:val="heading 5"/>
    <w:basedOn w:val="Normal"/>
    <w:next w:val="Normal"/>
    <w:link w:val="Heading5Char"/>
    <w:uiPriority w:val="9"/>
    <w:unhideWhenUsed/>
    <w:qFormat/>
    <w:rsid w:val="00E036FD"/>
    <w:pPr>
      <w:keepNext/>
      <w:keepLines/>
      <w:spacing w:before="240" w:after="240"/>
      <w:outlineLvl w:val="4"/>
    </w:pPr>
    <w:rPr>
      <w:rFonts w:eastAsiaTheme="majorEastAsia" w:cstheme="majorBidi"/>
      <w:b/>
      <w:i/>
    </w:rPr>
  </w:style>
  <w:style w:type="paragraph" w:styleId="Heading6">
    <w:name w:val="heading 6"/>
    <w:basedOn w:val="Normal"/>
    <w:next w:val="Normal"/>
    <w:link w:val="Heading6Char"/>
    <w:uiPriority w:val="9"/>
    <w:unhideWhenUsed/>
    <w:qFormat/>
    <w:rsid w:val="00F27D48"/>
    <w:pPr>
      <w:keepNext/>
      <w:keepLines/>
      <w:jc w:val="center"/>
      <w:outlineLvl w:val="5"/>
    </w:pPr>
    <w:rPr>
      <w:rFonts w:eastAsiaTheme="majorEastAsia" w:cstheme="majorBidi"/>
      <w:b/>
      <w:sz w:val="28"/>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52"/>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7B2EE3"/>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476DA1"/>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7D046E"/>
    <w:rPr>
      <w:rFonts w:ascii="Arial" w:eastAsiaTheme="majorEastAsia" w:hAnsi="Arial" w:cstheme="majorBidi"/>
      <w:b/>
      <w:i/>
      <w:iCs/>
      <w:sz w:val="28"/>
      <w:szCs w:val="24"/>
    </w:rPr>
  </w:style>
  <w:style w:type="paragraph" w:styleId="Title">
    <w:name w:val="Title"/>
    <w:basedOn w:val="Normal"/>
    <w:next w:val="Normal"/>
    <w:link w:val="TitleChar"/>
    <w:uiPriority w:val="10"/>
    <w:qFormat/>
    <w:rsid w:val="00451863"/>
    <w:pPr>
      <w:spacing w:before="240" w:after="24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451863"/>
    <w:rPr>
      <w:rFonts w:ascii="Arial" w:eastAsiaTheme="majorEastAsia" w:hAnsi="Arial" w:cstheme="majorBidi"/>
      <w:b/>
      <w:spacing w:val="-10"/>
      <w:kern w:val="28"/>
      <w:sz w:val="28"/>
      <w:szCs w:val="56"/>
    </w:rPr>
  </w:style>
  <w:style w:type="character" w:customStyle="1" w:styleId="Heading5Char">
    <w:name w:val="Heading 5 Char"/>
    <w:basedOn w:val="DefaultParagraphFont"/>
    <w:link w:val="Heading5"/>
    <w:uiPriority w:val="9"/>
    <w:rsid w:val="00E036FD"/>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F27D48"/>
    <w:rPr>
      <w:rFonts w:ascii="Arial" w:eastAsiaTheme="majorEastAsia" w:hAnsi="Arial" w:cstheme="majorBidi"/>
      <w:b/>
      <w:sz w:val="28"/>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aliases w:val="list"/>
    <w:basedOn w:val="Normal"/>
    <w:link w:val="ListParagraphChar"/>
    <w:uiPriority w:val="34"/>
    <w:qFormat/>
    <w:rsid w:val="00CE15DC"/>
    <w:pPr>
      <w:ind w:left="720"/>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ListParagraphChar">
    <w:name w:val="List Paragraph Char"/>
    <w:aliases w:val="list Char"/>
    <w:basedOn w:val="DefaultParagraphFont"/>
    <w:link w:val="ListParagraph"/>
    <w:uiPriority w:val="34"/>
    <w:locked/>
    <w:rsid w:val="00CE15DC"/>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820B71"/>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20B71"/>
    <w:rPr>
      <w:rFonts w:ascii="Arial" w:eastAsiaTheme="majorEastAsia" w:hAnsi="Arial" w:cstheme="majorBidi"/>
      <w:sz w:val="24"/>
      <w:szCs w:val="24"/>
      <w:shd w:val="clear" w:color="auto" w:fill="FFFFFF" w:themeFill="background1"/>
    </w:rPr>
  </w:style>
  <w:style w:type="paragraph" w:styleId="FootnoteText">
    <w:name w:val="footnote text"/>
    <w:basedOn w:val="Normal"/>
    <w:link w:val="FootnoteTextChar"/>
    <w:uiPriority w:val="99"/>
    <w:unhideWhenUsed/>
    <w:rsid w:val="00FE2686"/>
    <w:rPr>
      <w:sz w:val="20"/>
      <w:szCs w:val="20"/>
    </w:rPr>
  </w:style>
  <w:style w:type="character" w:customStyle="1" w:styleId="FootnoteTextChar">
    <w:name w:val="Footnote Text Char"/>
    <w:basedOn w:val="DefaultParagraphFont"/>
    <w:link w:val="FootnoteText"/>
    <w:uiPriority w:val="99"/>
    <w:rsid w:val="00FE2686"/>
    <w:rPr>
      <w:rFonts w:ascii="Arial" w:eastAsia="Times New Roman" w:hAnsi="Arial" w:cs="Times New Roman"/>
      <w:sz w:val="20"/>
      <w:szCs w:val="20"/>
    </w:rPr>
  </w:style>
  <w:style w:type="character" w:styleId="FootnoteReference">
    <w:name w:val="footnote reference"/>
    <w:basedOn w:val="DefaultParagraphFont"/>
    <w:uiPriority w:val="99"/>
    <w:unhideWhenUsed/>
    <w:rsid w:val="00FE2686"/>
    <w:rPr>
      <w:vertAlign w:val="superscript"/>
    </w:rPr>
  </w:style>
  <w:style w:type="paragraph" w:styleId="NormalWeb">
    <w:name w:val="Normal (Web)"/>
    <w:basedOn w:val="Normal"/>
    <w:uiPriority w:val="99"/>
    <w:unhideWhenUsed/>
    <w:rsid w:val="00FE2686"/>
    <w:pPr>
      <w:spacing w:before="100" w:beforeAutospacing="1" w:after="100" w:afterAutospacing="1"/>
    </w:pPr>
    <w:rPr>
      <w:rFonts w:eastAsiaTheme="minorEastAsia"/>
    </w:rPr>
  </w:style>
  <w:style w:type="table" w:styleId="TableGrid">
    <w:name w:val="Table Grid"/>
    <w:basedOn w:val="TableNormal"/>
    <w:uiPriority w:val="39"/>
    <w:rsid w:val="00C82D8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2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4780F"/>
    <w:rPr>
      <w:color w:val="954F72" w:themeColor="followedHyperlink"/>
      <w:u w:val="single"/>
    </w:rPr>
  </w:style>
  <w:style w:type="character" w:styleId="CommentReference">
    <w:name w:val="annotation reference"/>
    <w:basedOn w:val="DefaultParagraphFont"/>
    <w:uiPriority w:val="99"/>
    <w:semiHidden/>
    <w:unhideWhenUsed/>
    <w:rsid w:val="00A037DB"/>
    <w:rPr>
      <w:sz w:val="16"/>
      <w:szCs w:val="16"/>
    </w:rPr>
  </w:style>
  <w:style w:type="paragraph" w:styleId="CommentText">
    <w:name w:val="annotation text"/>
    <w:basedOn w:val="Normal"/>
    <w:link w:val="CommentTextChar"/>
    <w:uiPriority w:val="99"/>
    <w:unhideWhenUsed/>
    <w:rsid w:val="00A037DB"/>
    <w:rPr>
      <w:sz w:val="20"/>
      <w:szCs w:val="20"/>
    </w:rPr>
  </w:style>
  <w:style w:type="character" w:customStyle="1" w:styleId="CommentTextChar">
    <w:name w:val="Comment Text Char"/>
    <w:basedOn w:val="DefaultParagraphFont"/>
    <w:link w:val="CommentText"/>
    <w:uiPriority w:val="99"/>
    <w:rsid w:val="00A037D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037DB"/>
    <w:rPr>
      <w:b/>
      <w:bCs/>
    </w:rPr>
  </w:style>
  <w:style w:type="character" w:customStyle="1" w:styleId="CommentSubjectChar">
    <w:name w:val="Comment Subject Char"/>
    <w:basedOn w:val="CommentTextChar"/>
    <w:link w:val="CommentSubject"/>
    <w:uiPriority w:val="99"/>
    <w:semiHidden/>
    <w:rsid w:val="00A037DB"/>
    <w:rPr>
      <w:rFonts w:ascii="Arial" w:eastAsia="Times New Roman" w:hAnsi="Arial" w:cs="Times New Roman"/>
      <w:b/>
      <w:bCs/>
      <w:sz w:val="20"/>
      <w:szCs w:val="20"/>
    </w:rPr>
  </w:style>
  <w:style w:type="paragraph" w:customStyle="1" w:styleId="Field1">
    <w:name w:val="Field 1"/>
    <w:basedOn w:val="ListParagraph"/>
    <w:link w:val="Field1Char"/>
    <w:qFormat/>
    <w:rsid w:val="00451967"/>
    <w:pPr>
      <w:pBdr>
        <w:top w:val="single" w:sz="4" w:space="8" w:color="95B3D7"/>
        <w:left w:val="single" w:sz="4" w:space="4" w:color="95B3D7"/>
        <w:bottom w:val="single" w:sz="4" w:space="8" w:color="95B3D7"/>
        <w:right w:val="single" w:sz="4" w:space="4" w:color="95B3D7"/>
      </w:pBdr>
      <w:shd w:val="clear" w:color="auto" w:fill="D9E2F3"/>
      <w:spacing w:before="120"/>
      <w:ind w:left="360"/>
    </w:pPr>
    <w:rPr>
      <w:color w:val="000000"/>
      <w:szCs w:val="21"/>
      <w:lang w:val="en"/>
    </w:rPr>
  </w:style>
  <w:style w:type="character" w:customStyle="1" w:styleId="Field1Char">
    <w:name w:val="Field 1 Char"/>
    <w:basedOn w:val="ListParagraphChar"/>
    <w:link w:val="Field1"/>
    <w:rsid w:val="00451967"/>
    <w:rPr>
      <w:rFonts w:ascii="Arial" w:eastAsia="Times New Roman" w:hAnsi="Arial" w:cs="Times New Roman"/>
      <w:color w:val="000000"/>
      <w:sz w:val="24"/>
      <w:szCs w:val="21"/>
      <w:shd w:val="clear" w:color="auto" w:fill="D9E2F3"/>
      <w:lang w:val="en"/>
    </w:rPr>
  </w:style>
  <w:style w:type="character" w:customStyle="1" w:styleId="UnresolvedMention1">
    <w:name w:val="Unresolved Mention1"/>
    <w:basedOn w:val="DefaultParagraphFont"/>
    <w:uiPriority w:val="99"/>
    <w:semiHidden/>
    <w:unhideWhenUsed/>
    <w:rsid w:val="002A31CC"/>
    <w:rPr>
      <w:color w:val="605E5C"/>
      <w:shd w:val="clear" w:color="auto" w:fill="E1DFDD"/>
    </w:rPr>
  </w:style>
  <w:style w:type="character" w:customStyle="1" w:styleId="apple-converted-space">
    <w:name w:val="apple-converted-space"/>
    <w:basedOn w:val="DefaultParagraphFont"/>
    <w:rsid w:val="006E3AD8"/>
  </w:style>
  <w:style w:type="character" w:styleId="Strong">
    <w:name w:val="Strong"/>
    <w:basedOn w:val="DefaultParagraphFont"/>
    <w:uiPriority w:val="22"/>
    <w:qFormat/>
    <w:rsid w:val="006E3AD8"/>
    <w:rPr>
      <w:b/>
      <w:bCs/>
    </w:rPr>
  </w:style>
  <w:style w:type="character" w:customStyle="1" w:styleId="gs-fileformat">
    <w:name w:val="gs-fileformat"/>
    <w:basedOn w:val="DefaultParagraphFont"/>
    <w:rsid w:val="00830AB0"/>
  </w:style>
  <w:style w:type="character" w:customStyle="1" w:styleId="gs-fileformattype">
    <w:name w:val="gs-fileformattype"/>
    <w:basedOn w:val="DefaultParagraphFont"/>
    <w:rsid w:val="00830AB0"/>
  </w:style>
  <w:style w:type="character" w:styleId="Emphasis">
    <w:name w:val="Emphasis"/>
    <w:basedOn w:val="DefaultParagraphFont"/>
    <w:uiPriority w:val="20"/>
    <w:qFormat/>
    <w:rsid w:val="005F7FEB"/>
    <w:rPr>
      <w:rFonts w:ascii="Times New Roman" w:hAnsi="Times New Roman" w:cs="Times New Roman" w:hint="default"/>
      <w:i/>
      <w:iCs/>
    </w:rPr>
  </w:style>
  <w:style w:type="character" w:customStyle="1" w:styleId="UnresolvedMention2">
    <w:name w:val="Unresolved Mention2"/>
    <w:basedOn w:val="DefaultParagraphFont"/>
    <w:uiPriority w:val="99"/>
    <w:semiHidden/>
    <w:unhideWhenUsed/>
    <w:rsid w:val="00D90637"/>
    <w:rPr>
      <w:color w:val="605E5C"/>
      <w:shd w:val="clear" w:color="auto" w:fill="E1DFDD"/>
    </w:rPr>
  </w:style>
  <w:style w:type="character" w:customStyle="1" w:styleId="UnresolvedMention3">
    <w:name w:val="Unresolved Mention3"/>
    <w:basedOn w:val="DefaultParagraphFont"/>
    <w:uiPriority w:val="99"/>
    <w:semiHidden/>
    <w:unhideWhenUsed/>
    <w:rsid w:val="009B77D3"/>
    <w:rPr>
      <w:color w:val="605E5C"/>
      <w:shd w:val="clear" w:color="auto" w:fill="E1DFDD"/>
    </w:rPr>
  </w:style>
  <w:style w:type="table" w:customStyle="1" w:styleId="TableGrid1">
    <w:name w:val="Table Grid1"/>
    <w:basedOn w:val="TableNormal"/>
    <w:next w:val="TableGrid"/>
    <w:uiPriority w:val="39"/>
    <w:rsid w:val="00672D9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873425"/>
    <w:rPr>
      <w:color w:val="605E5C"/>
      <w:shd w:val="clear" w:color="auto" w:fill="E1DFDD"/>
    </w:rPr>
  </w:style>
  <w:style w:type="table" w:customStyle="1" w:styleId="TableGrid2">
    <w:name w:val="Table Grid2"/>
    <w:basedOn w:val="TableNormal"/>
    <w:next w:val="TableGrid"/>
    <w:uiPriority w:val="59"/>
    <w:rsid w:val="00815FA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35FD"/>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1604"/>
  </w:style>
  <w:style w:type="character" w:customStyle="1" w:styleId="eop">
    <w:name w:val="eop"/>
    <w:basedOn w:val="DefaultParagraphFont"/>
    <w:rsid w:val="00B11604"/>
  </w:style>
  <w:style w:type="character" w:customStyle="1" w:styleId="UnresolvedMention5">
    <w:name w:val="Unresolved Mention5"/>
    <w:basedOn w:val="DefaultParagraphFont"/>
    <w:uiPriority w:val="99"/>
    <w:semiHidden/>
    <w:unhideWhenUsed/>
    <w:rsid w:val="00BD5D61"/>
    <w:rPr>
      <w:color w:val="605E5C"/>
      <w:shd w:val="clear" w:color="auto" w:fill="E1DFDD"/>
    </w:rPr>
  </w:style>
  <w:style w:type="paragraph" w:styleId="Caption">
    <w:name w:val="caption"/>
    <w:basedOn w:val="Normal"/>
    <w:next w:val="Normal"/>
    <w:uiPriority w:val="35"/>
    <w:unhideWhenUsed/>
    <w:qFormat/>
    <w:rsid w:val="00A95087"/>
    <w:pPr>
      <w:spacing w:after="200"/>
    </w:pPr>
    <w:rPr>
      <w:i/>
      <w:iCs/>
      <w:color w:val="44546A" w:themeColor="text2"/>
      <w:sz w:val="18"/>
      <w:szCs w:val="18"/>
    </w:rPr>
  </w:style>
  <w:style w:type="character" w:customStyle="1" w:styleId="UnresolvedMention6">
    <w:name w:val="Unresolved Mention6"/>
    <w:basedOn w:val="DefaultParagraphFont"/>
    <w:uiPriority w:val="99"/>
    <w:semiHidden/>
    <w:unhideWhenUsed/>
    <w:rsid w:val="00995193"/>
    <w:rPr>
      <w:color w:val="605E5C"/>
      <w:shd w:val="clear" w:color="auto" w:fill="E1DFDD"/>
    </w:rPr>
  </w:style>
  <w:style w:type="table" w:customStyle="1" w:styleId="TableGrid5">
    <w:name w:val="Table Grid5"/>
    <w:basedOn w:val="TableNormal"/>
    <w:next w:val="TableGrid"/>
    <w:uiPriority w:val="39"/>
    <w:rsid w:val="002660F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61864"/>
    <w:pPr>
      <w:spacing w:before="100" w:beforeAutospacing="1" w:after="100" w:afterAutospacing="1"/>
    </w:pPr>
  </w:style>
  <w:style w:type="paragraph" w:styleId="BodyText">
    <w:name w:val="Body Text"/>
    <w:basedOn w:val="Normal"/>
    <w:link w:val="BodyTextChar"/>
    <w:uiPriority w:val="1"/>
    <w:qFormat/>
    <w:rsid w:val="00EC240B"/>
    <w:pPr>
      <w:widowControl w:val="0"/>
      <w:autoSpaceDE w:val="0"/>
      <w:autoSpaceDN w:val="0"/>
    </w:pPr>
    <w:rPr>
      <w:rFonts w:eastAsia="Arial" w:cs="Arial"/>
    </w:rPr>
  </w:style>
  <w:style w:type="character" w:customStyle="1" w:styleId="BodyTextChar">
    <w:name w:val="Body Text Char"/>
    <w:basedOn w:val="DefaultParagraphFont"/>
    <w:link w:val="BodyText"/>
    <w:uiPriority w:val="1"/>
    <w:rsid w:val="00EC240B"/>
    <w:rPr>
      <w:rFonts w:ascii="Arial" w:eastAsia="Arial" w:hAnsi="Arial" w:cs="Arial"/>
      <w:sz w:val="24"/>
      <w:szCs w:val="24"/>
    </w:rPr>
  </w:style>
  <w:style w:type="character" w:styleId="UnresolvedMention">
    <w:name w:val="Unresolved Mention"/>
    <w:basedOn w:val="DefaultParagraphFont"/>
    <w:uiPriority w:val="99"/>
    <w:semiHidden/>
    <w:unhideWhenUsed/>
    <w:rsid w:val="00DB0385"/>
    <w:rPr>
      <w:color w:val="605E5C"/>
      <w:shd w:val="clear" w:color="auto" w:fill="E1DFDD"/>
    </w:rPr>
  </w:style>
  <w:style w:type="character" w:customStyle="1" w:styleId="linknotation">
    <w:name w:val="linknotation"/>
    <w:basedOn w:val="DefaultParagraphFont"/>
    <w:rsid w:val="006A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550">
      <w:bodyDiv w:val="1"/>
      <w:marLeft w:val="0"/>
      <w:marRight w:val="0"/>
      <w:marTop w:val="0"/>
      <w:marBottom w:val="0"/>
      <w:divBdr>
        <w:top w:val="none" w:sz="0" w:space="0" w:color="auto"/>
        <w:left w:val="none" w:sz="0" w:space="0" w:color="auto"/>
        <w:bottom w:val="none" w:sz="0" w:space="0" w:color="auto"/>
        <w:right w:val="none" w:sz="0" w:space="0" w:color="auto"/>
      </w:divBdr>
      <w:divsChild>
        <w:div w:id="95256339">
          <w:marLeft w:val="1080"/>
          <w:marRight w:val="0"/>
          <w:marTop w:val="240"/>
          <w:marBottom w:val="120"/>
          <w:divBdr>
            <w:top w:val="none" w:sz="0" w:space="0" w:color="auto"/>
            <w:left w:val="none" w:sz="0" w:space="0" w:color="auto"/>
            <w:bottom w:val="none" w:sz="0" w:space="0" w:color="auto"/>
            <w:right w:val="none" w:sz="0" w:space="0" w:color="auto"/>
          </w:divBdr>
        </w:div>
        <w:div w:id="146096780">
          <w:marLeft w:val="1080"/>
          <w:marRight w:val="0"/>
          <w:marTop w:val="240"/>
          <w:marBottom w:val="120"/>
          <w:divBdr>
            <w:top w:val="none" w:sz="0" w:space="0" w:color="auto"/>
            <w:left w:val="none" w:sz="0" w:space="0" w:color="auto"/>
            <w:bottom w:val="none" w:sz="0" w:space="0" w:color="auto"/>
            <w:right w:val="none" w:sz="0" w:space="0" w:color="auto"/>
          </w:divBdr>
        </w:div>
        <w:div w:id="1631087227">
          <w:marLeft w:val="1080"/>
          <w:marRight w:val="0"/>
          <w:marTop w:val="240"/>
          <w:marBottom w:val="120"/>
          <w:divBdr>
            <w:top w:val="none" w:sz="0" w:space="0" w:color="auto"/>
            <w:left w:val="none" w:sz="0" w:space="0" w:color="auto"/>
            <w:bottom w:val="none" w:sz="0" w:space="0" w:color="auto"/>
            <w:right w:val="none" w:sz="0" w:space="0" w:color="auto"/>
          </w:divBdr>
        </w:div>
      </w:divsChild>
    </w:div>
    <w:div w:id="13309847">
      <w:bodyDiv w:val="1"/>
      <w:marLeft w:val="0"/>
      <w:marRight w:val="0"/>
      <w:marTop w:val="0"/>
      <w:marBottom w:val="0"/>
      <w:divBdr>
        <w:top w:val="none" w:sz="0" w:space="0" w:color="auto"/>
        <w:left w:val="none" w:sz="0" w:space="0" w:color="auto"/>
        <w:bottom w:val="none" w:sz="0" w:space="0" w:color="auto"/>
        <w:right w:val="none" w:sz="0" w:space="0" w:color="auto"/>
      </w:divBdr>
      <w:divsChild>
        <w:div w:id="712313846">
          <w:marLeft w:val="360"/>
          <w:marRight w:val="0"/>
          <w:marTop w:val="120"/>
          <w:marBottom w:val="120"/>
          <w:divBdr>
            <w:top w:val="none" w:sz="0" w:space="0" w:color="auto"/>
            <w:left w:val="none" w:sz="0" w:space="0" w:color="auto"/>
            <w:bottom w:val="none" w:sz="0" w:space="0" w:color="auto"/>
            <w:right w:val="none" w:sz="0" w:space="0" w:color="auto"/>
          </w:divBdr>
        </w:div>
        <w:div w:id="901863893">
          <w:marLeft w:val="360"/>
          <w:marRight w:val="0"/>
          <w:marTop w:val="120"/>
          <w:marBottom w:val="120"/>
          <w:divBdr>
            <w:top w:val="none" w:sz="0" w:space="0" w:color="auto"/>
            <w:left w:val="none" w:sz="0" w:space="0" w:color="auto"/>
            <w:bottom w:val="none" w:sz="0" w:space="0" w:color="auto"/>
            <w:right w:val="none" w:sz="0" w:space="0" w:color="auto"/>
          </w:divBdr>
        </w:div>
        <w:div w:id="436215707">
          <w:marLeft w:val="360"/>
          <w:marRight w:val="0"/>
          <w:marTop w:val="120"/>
          <w:marBottom w:val="120"/>
          <w:divBdr>
            <w:top w:val="none" w:sz="0" w:space="0" w:color="auto"/>
            <w:left w:val="none" w:sz="0" w:space="0" w:color="auto"/>
            <w:bottom w:val="none" w:sz="0" w:space="0" w:color="auto"/>
            <w:right w:val="none" w:sz="0" w:space="0" w:color="auto"/>
          </w:divBdr>
        </w:div>
        <w:div w:id="451217630">
          <w:marLeft w:val="1253"/>
          <w:marRight w:val="0"/>
          <w:marTop w:val="120"/>
          <w:marBottom w:val="120"/>
          <w:divBdr>
            <w:top w:val="none" w:sz="0" w:space="0" w:color="auto"/>
            <w:left w:val="none" w:sz="0" w:space="0" w:color="auto"/>
            <w:bottom w:val="none" w:sz="0" w:space="0" w:color="auto"/>
            <w:right w:val="none" w:sz="0" w:space="0" w:color="auto"/>
          </w:divBdr>
        </w:div>
        <w:div w:id="2045514326">
          <w:marLeft w:val="1253"/>
          <w:marRight w:val="0"/>
          <w:marTop w:val="120"/>
          <w:marBottom w:val="120"/>
          <w:divBdr>
            <w:top w:val="none" w:sz="0" w:space="0" w:color="auto"/>
            <w:left w:val="none" w:sz="0" w:space="0" w:color="auto"/>
            <w:bottom w:val="none" w:sz="0" w:space="0" w:color="auto"/>
            <w:right w:val="none" w:sz="0" w:space="0" w:color="auto"/>
          </w:divBdr>
        </w:div>
      </w:divsChild>
    </w:div>
    <w:div w:id="19867696">
      <w:bodyDiv w:val="1"/>
      <w:marLeft w:val="0"/>
      <w:marRight w:val="0"/>
      <w:marTop w:val="0"/>
      <w:marBottom w:val="0"/>
      <w:divBdr>
        <w:top w:val="none" w:sz="0" w:space="0" w:color="auto"/>
        <w:left w:val="none" w:sz="0" w:space="0" w:color="auto"/>
        <w:bottom w:val="none" w:sz="0" w:space="0" w:color="auto"/>
        <w:right w:val="none" w:sz="0" w:space="0" w:color="auto"/>
      </w:divBdr>
      <w:divsChild>
        <w:div w:id="1218736187">
          <w:marLeft w:val="360"/>
          <w:marRight w:val="0"/>
          <w:marTop w:val="120"/>
          <w:marBottom w:val="200"/>
          <w:divBdr>
            <w:top w:val="none" w:sz="0" w:space="0" w:color="auto"/>
            <w:left w:val="none" w:sz="0" w:space="0" w:color="auto"/>
            <w:bottom w:val="none" w:sz="0" w:space="0" w:color="auto"/>
            <w:right w:val="none" w:sz="0" w:space="0" w:color="auto"/>
          </w:divBdr>
        </w:div>
        <w:div w:id="1233927422">
          <w:marLeft w:val="360"/>
          <w:marRight w:val="0"/>
          <w:marTop w:val="120"/>
          <w:marBottom w:val="200"/>
          <w:divBdr>
            <w:top w:val="none" w:sz="0" w:space="0" w:color="auto"/>
            <w:left w:val="none" w:sz="0" w:space="0" w:color="auto"/>
            <w:bottom w:val="none" w:sz="0" w:space="0" w:color="auto"/>
            <w:right w:val="none" w:sz="0" w:space="0" w:color="auto"/>
          </w:divBdr>
        </w:div>
        <w:div w:id="1975401671">
          <w:marLeft w:val="1080"/>
          <w:marRight w:val="0"/>
          <w:marTop w:val="120"/>
          <w:marBottom w:val="200"/>
          <w:divBdr>
            <w:top w:val="none" w:sz="0" w:space="0" w:color="auto"/>
            <w:left w:val="none" w:sz="0" w:space="0" w:color="auto"/>
            <w:bottom w:val="none" w:sz="0" w:space="0" w:color="auto"/>
            <w:right w:val="none" w:sz="0" w:space="0" w:color="auto"/>
          </w:divBdr>
        </w:div>
        <w:div w:id="1880703244">
          <w:marLeft w:val="1080"/>
          <w:marRight w:val="0"/>
          <w:marTop w:val="120"/>
          <w:marBottom w:val="200"/>
          <w:divBdr>
            <w:top w:val="none" w:sz="0" w:space="0" w:color="auto"/>
            <w:left w:val="none" w:sz="0" w:space="0" w:color="auto"/>
            <w:bottom w:val="none" w:sz="0" w:space="0" w:color="auto"/>
            <w:right w:val="none" w:sz="0" w:space="0" w:color="auto"/>
          </w:divBdr>
        </w:div>
      </w:divsChild>
    </w:div>
    <w:div w:id="39087613">
      <w:bodyDiv w:val="1"/>
      <w:marLeft w:val="0"/>
      <w:marRight w:val="0"/>
      <w:marTop w:val="0"/>
      <w:marBottom w:val="0"/>
      <w:divBdr>
        <w:top w:val="none" w:sz="0" w:space="0" w:color="auto"/>
        <w:left w:val="none" w:sz="0" w:space="0" w:color="auto"/>
        <w:bottom w:val="none" w:sz="0" w:space="0" w:color="auto"/>
        <w:right w:val="none" w:sz="0" w:space="0" w:color="auto"/>
      </w:divBdr>
    </w:div>
    <w:div w:id="41951780">
      <w:bodyDiv w:val="1"/>
      <w:marLeft w:val="0"/>
      <w:marRight w:val="0"/>
      <w:marTop w:val="0"/>
      <w:marBottom w:val="0"/>
      <w:divBdr>
        <w:top w:val="none" w:sz="0" w:space="0" w:color="auto"/>
        <w:left w:val="none" w:sz="0" w:space="0" w:color="auto"/>
        <w:bottom w:val="none" w:sz="0" w:space="0" w:color="auto"/>
        <w:right w:val="none" w:sz="0" w:space="0" w:color="auto"/>
      </w:divBdr>
    </w:div>
    <w:div w:id="47463964">
      <w:bodyDiv w:val="1"/>
      <w:marLeft w:val="0"/>
      <w:marRight w:val="0"/>
      <w:marTop w:val="0"/>
      <w:marBottom w:val="0"/>
      <w:divBdr>
        <w:top w:val="none" w:sz="0" w:space="0" w:color="auto"/>
        <w:left w:val="none" w:sz="0" w:space="0" w:color="auto"/>
        <w:bottom w:val="none" w:sz="0" w:space="0" w:color="auto"/>
        <w:right w:val="none" w:sz="0" w:space="0" w:color="auto"/>
      </w:divBdr>
      <w:divsChild>
        <w:div w:id="41297360">
          <w:marLeft w:val="360"/>
          <w:marRight w:val="0"/>
          <w:marTop w:val="240"/>
          <w:marBottom w:val="0"/>
          <w:divBdr>
            <w:top w:val="none" w:sz="0" w:space="0" w:color="auto"/>
            <w:left w:val="none" w:sz="0" w:space="0" w:color="auto"/>
            <w:bottom w:val="none" w:sz="0" w:space="0" w:color="auto"/>
            <w:right w:val="none" w:sz="0" w:space="0" w:color="auto"/>
          </w:divBdr>
        </w:div>
        <w:div w:id="491339784">
          <w:marLeft w:val="360"/>
          <w:marRight w:val="0"/>
          <w:marTop w:val="240"/>
          <w:marBottom w:val="0"/>
          <w:divBdr>
            <w:top w:val="none" w:sz="0" w:space="0" w:color="auto"/>
            <w:left w:val="none" w:sz="0" w:space="0" w:color="auto"/>
            <w:bottom w:val="none" w:sz="0" w:space="0" w:color="auto"/>
            <w:right w:val="none" w:sz="0" w:space="0" w:color="auto"/>
          </w:divBdr>
        </w:div>
        <w:div w:id="758454102">
          <w:marLeft w:val="360"/>
          <w:marRight w:val="0"/>
          <w:marTop w:val="240"/>
          <w:marBottom w:val="0"/>
          <w:divBdr>
            <w:top w:val="none" w:sz="0" w:space="0" w:color="auto"/>
            <w:left w:val="none" w:sz="0" w:space="0" w:color="auto"/>
            <w:bottom w:val="none" w:sz="0" w:space="0" w:color="auto"/>
            <w:right w:val="none" w:sz="0" w:space="0" w:color="auto"/>
          </w:divBdr>
        </w:div>
        <w:div w:id="1563247706">
          <w:marLeft w:val="360"/>
          <w:marRight w:val="0"/>
          <w:marTop w:val="240"/>
          <w:marBottom w:val="0"/>
          <w:divBdr>
            <w:top w:val="none" w:sz="0" w:space="0" w:color="auto"/>
            <w:left w:val="none" w:sz="0" w:space="0" w:color="auto"/>
            <w:bottom w:val="none" w:sz="0" w:space="0" w:color="auto"/>
            <w:right w:val="none" w:sz="0" w:space="0" w:color="auto"/>
          </w:divBdr>
        </w:div>
      </w:divsChild>
    </w:div>
    <w:div w:id="51197433">
      <w:bodyDiv w:val="1"/>
      <w:marLeft w:val="0"/>
      <w:marRight w:val="0"/>
      <w:marTop w:val="0"/>
      <w:marBottom w:val="0"/>
      <w:divBdr>
        <w:top w:val="none" w:sz="0" w:space="0" w:color="auto"/>
        <w:left w:val="none" w:sz="0" w:space="0" w:color="auto"/>
        <w:bottom w:val="none" w:sz="0" w:space="0" w:color="auto"/>
        <w:right w:val="none" w:sz="0" w:space="0" w:color="auto"/>
      </w:divBdr>
    </w:div>
    <w:div w:id="62068094">
      <w:bodyDiv w:val="1"/>
      <w:marLeft w:val="0"/>
      <w:marRight w:val="0"/>
      <w:marTop w:val="0"/>
      <w:marBottom w:val="0"/>
      <w:divBdr>
        <w:top w:val="none" w:sz="0" w:space="0" w:color="auto"/>
        <w:left w:val="none" w:sz="0" w:space="0" w:color="auto"/>
        <w:bottom w:val="none" w:sz="0" w:space="0" w:color="auto"/>
        <w:right w:val="none" w:sz="0" w:space="0" w:color="auto"/>
      </w:divBdr>
    </w:div>
    <w:div w:id="72166711">
      <w:bodyDiv w:val="1"/>
      <w:marLeft w:val="0"/>
      <w:marRight w:val="0"/>
      <w:marTop w:val="0"/>
      <w:marBottom w:val="0"/>
      <w:divBdr>
        <w:top w:val="none" w:sz="0" w:space="0" w:color="auto"/>
        <w:left w:val="none" w:sz="0" w:space="0" w:color="auto"/>
        <w:bottom w:val="none" w:sz="0" w:space="0" w:color="auto"/>
        <w:right w:val="none" w:sz="0" w:space="0" w:color="auto"/>
      </w:divBdr>
    </w:div>
    <w:div w:id="77677276">
      <w:bodyDiv w:val="1"/>
      <w:marLeft w:val="0"/>
      <w:marRight w:val="0"/>
      <w:marTop w:val="0"/>
      <w:marBottom w:val="0"/>
      <w:divBdr>
        <w:top w:val="none" w:sz="0" w:space="0" w:color="auto"/>
        <w:left w:val="none" w:sz="0" w:space="0" w:color="auto"/>
        <w:bottom w:val="none" w:sz="0" w:space="0" w:color="auto"/>
        <w:right w:val="none" w:sz="0" w:space="0" w:color="auto"/>
      </w:divBdr>
      <w:divsChild>
        <w:div w:id="1751149871">
          <w:marLeft w:val="360"/>
          <w:marRight w:val="0"/>
          <w:marTop w:val="120"/>
          <w:marBottom w:val="120"/>
          <w:divBdr>
            <w:top w:val="none" w:sz="0" w:space="0" w:color="auto"/>
            <w:left w:val="none" w:sz="0" w:space="0" w:color="auto"/>
            <w:bottom w:val="none" w:sz="0" w:space="0" w:color="auto"/>
            <w:right w:val="none" w:sz="0" w:space="0" w:color="auto"/>
          </w:divBdr>
        </w:div>
        <w:div w:id="1798328105">
          <w:marLeft w:val="360"/>
          <w:marRight w:val="0"/>
          <w:marTop w:val="120"/>
          <w:marBottom w:val="120"/>
          <w:divBdr>
            <w:top w:val="none" w:sz="0" w:space="0" w:color="auto"/>
            <w:left w:val="none" w:sz="0" w:space="0" w:color="auto"/>
            <w:bottom w:val="none" w:sz="0" w:space="0" w:color="auto"/>
            <w:right w:val="none" w:sz="0" w:space="0" w:color="auto"/>
          </w:divBdr>
        </w:div>
        <w:div w:id="191574807">
          <w:marLeft w:val="360"/>
          <w:marRight w:val="0"/>
          <w:marTop w:val="120"/>
          <w:marBottom w:val="120"/>
          <w:divBdr>
            <w:top w:val="none" w:sz="0" w:space="0" w:color="auto"/>
            <w:left w:val="none" w:sz="0" w:space="0" w:color="auto"/>
            <w:bottom w:val="none" w:sz="0" w:space="0" w:color="auto"/>
            <w:right w:val="none" w:sz="0" w:space="0" w:color="auto"/>
          </w:divBdr>
        </w:div>
        <w:div w:id="1278870020">
          <w:marLeft w:val="1253"/>
          <w:marRight w:val="0"/>
          <w:marTop w:val="120"/>
          <w:marBottom w:val="120"/>
          <w:divBdr>
            <w:top w:val="none" w:sz="0" w:space="0" w:color="auto"/>
            <w:left w:val="none" w:sz="0" w:space="0" w:color="auto"/>
            <w:bottom w:val="none" w:sz="0" w:space="0" w:color="auto"/>
            <w:right w:val="none" w:sz="0" w:space="0" w:color="auto"/>
          </w:divBdr>
        </w:div>
        <w:div w:id="567571471">
          <w:marLeft w:val="1253"/>
          <w:marRight w:val="0"/>
          <w:marTop w:val="120"/>
          <w:marBottom w:val="120"/>
          <w:divBdr>
            <w:top w:val="none" w:sz="0" w:space="0" w:color="auto"/>
            <w:left w:val="none" w:sz="0" w:space="0" w:color="auto"/>
            <w:bottom w:val="none" w:sz="0" w:space="0" w:color="auto"/>
            <w:right w:val="none" w:sz="0" w:space="0" w:color="auto"/>
          </w:divBdr>
        </w:div>
      </w:divsChild>
    </w:div>
    <w:div w:id="78991752">
      <w:bodyDiv w:val="1"/>
      <w:marLeft w:val="0"/>
      <w:marRight w:val="0"/>
      <w:marTop w:val="0"/>
      <w:marBottom w:val="0"/>
      <w:divBdr>
        <w:top w:val="none" w:sz="0" w:space="0" w:color="auto"/>
        <w:left w:val="none" w:sz="0" w:space="0" w:color="auto"/>
        <w:bottom w:val="none" w:sz="0" w:space="0" w:color="auto"/>
        <w:right w:val="none" w:sz="0" w:space="0" w:color="auto"/>
      </w:divBdr>
    </w:div>
    <w:div w:id="80689675">
      <w:bodyDiv w:val="1"/>
      <w:marLeft w:val="0"/>
      <w:marRight w:val="0"/>
      <w:marTop w:val="0"/>
      <w:marBottom w:val="0"/>
      <w:divBdr>
        <w:top w:val="none" w:sz="0" w:space="0" w:color="auto"/>
        <w:left w:val="none" w:sz="0" w:space="0" w:color="auto"/>
        <w:bottom w:val="none" w:sz="0" w:space="0" w:color="auto"/>
        <w:right w:val="none" w:sz="0" w:space="0" w:color="auto"/>
      </w:divBdr>
      <w:divsChild>
        <w:div w:id="484783982">
          <w:marLeft w:val="2520"/>
          <w:marRight w:val="0"/>
          <w:marTop w:val="120"/>
          <w:marBottom w:val="120"/>
          <w:divBdr>
            <w:top w:val="none" w:sz="0" w:space="0" w:color="auto"/>
            <w:left w:val="none" w:sz="0" w:space="0" w:color="auto"/>
            <w:bottom w:val="none" w:sz="0" w:space="0" w:color="auto"/>
            <w:right w:val="none" w:sz="0" w:space="0" w:color="auto"/>
          </w:divBdr>
        </w:div>
        <w:div w:id="634061636">
          <w:marLeft w:val="1080"/>
          <w:marRight w:val="0"/>
          <w:marTop w:val="120"/>
          <w:marBottom w:val="120"/>
          <w:divBdr>
            <w:top w:val="none" w:sz="0" w:space="0" w:color="auto"/>
            <w:left w:val="none" w:sz="0" w:space="0" w:color="auto"/>
            <w:bottom w:val="none" w:sz="0" w:space="0" w:color="auto"/>
            <w:right w:val="none" w:sz="0" w:space="0" w:color="auto"/>
          </w:divBdr>
        </w:div>
        <w:div w:id="760955532">
          <w:marLeft w:val="1800"/>
          <w:marRight w:val="0"/>
          <w:marTop w:val="120"/>
          <w:marBottom w:val="120"/>
          <w:divBdr>
            <w:top w:val="none" w:sz="0" w:space="0" w:color="auto"/>
            <w:left w:val="none" w:sz="0" w:space="0" w:color="auto"/>
            <w:bottom w:val="none" w:sz="0" w:space="0" w:color="auto"/>
            <w:right w:val="none" w:sz="0" w:space="0" w:color="auto"/>
          </w:divBdr>
        </w:div>
        <w:div w:id="993874129">
          <w:marLeft w:val="1800"/>
          <w:marRight w:val="0"/>
          <w:marTop w:val="120"/>
          <w:marBottom w:val="120"/>
          <w:divBdr>
            <w:top w:val="none" w:sz="0" w:space="0" w:color="auto"/>
            <w:left w:val="none" w:sz="0" w:space="0" w:color="auto"/>
            <w:bottom w:val="none" w:sz="0" w:space="0" w:color="auto"/>
            <w:right w:val="none" w:sz="0" w:space="0" w:color="auto"/>
          </w:divBdr>
        </w:div>
        <w:div w:id="1425569931">
          <w:marLeft w:val="1800"/>
          <w:marRight w:val="0"/>
          <w:marTop w:val="120"/>
          <w:marBottom w:val="120"/>
          <w:divBdr>
            <w:top w:val="none" w:sz="0" w:space="0" w:color="auto"/>
            <w:left w:val="none" w:sz="0" w:space="0" w:color="auto"/>
            <w:bottom w:val="none" w:sz="0" w:space="0" w:color="auto"/>
            <w:right w:val="none" w:sz="0" w:space="0" w:color="auto"/>
          </w:divBdr>
        </w:div>
        <w:div w:id="1819959438">
          <w:marLeft w:val="360"/>
          <w:marRight w:val="0"/>
          <w:marTop w:val="120"/>
          <w:marBottom w:val="120"/>
          <w:divBdr>
            <w:top w:val="none" w:sz="0" w:space="0" w:color="auto"/>
            <w:left w:val="none" w:sz="0" w:space="0" w:color="auto"/>
            <w:bottom w:val="none" w:sz="0" w:space="0" w:color="auto"/>
            <w:right w:val="none" w:sz="0" w:space="0" w:color="auto"/>
          </w:divBdr>
        </w:div>
      </w:divsChild>
    </w:div>
    <w:div w:id="131749676">
      <w:bodyDiv w:val="1"/>
      <w:marLeft w:val="0"/>
      <w:marRight w:val="0"/>
      <w:marTop w:val="0"/>
      <w:marBottom w:val="0"/>
      <w:divBdr>
        <w:top w:val="none" w:sz="0" w:space="0" w:color="auto"/>
        <w:left w:val="none" w:sz="0" w:space="0" w:color="auto"/>
        <w:bottom w:val="none" w:sz="0" w:space="0" w:color="auto"/>
        <w:right w:val="none" w:sz="0" w:space="0" w:color="auto"/>
      </w:divBdr>
    </w:div>
    <w:div w:id="131752332">
      <w:bodyDiv w:val="1"/>
      <w:marLeft w:val="0"/>
      <w:marRight w:val="0"/>
      <w:marTop w:val="0"/>
      <w:marBottom w:val="0"/>
      <w:divBdr>
        <w:top w:val="none" w:sz="0" w:space="0" w:color="auto"/>
        <w:left w:val="none" w:sz="0" w:space="0" w:color="auto"/>
        <w:bottom w:val="none" w:sz="0" w:space="0" w:color="auto"/>
        <w:right w:val="none" w:sz="0" w:space="0" w:color="auto"/>
      </w:divBdr>
    </w:div>
    <w:div w:id="143667291">
      <w:bodyDiv w:val="1"/>
      <w:marLeft w:val="0"/>
      <w:marRight w:val="0"/>
      <w:marTop w:val="0"/>
      <w:marBottom w:val="0"/>
      <w:divBdr>
        <w:top w:val="none" w:sz="0" w:space="0" w:color="auto"/>
        <w:left w:val="none" w:sz="0" w:space="0" w:color="auto"/>
        <w:bottom w:val="none" w:sz="0" w:space="0" w:color="auto"/>
        <w:right w:val="none" w:sz="0" w:space="0" w:color="auto"/>
      </w:divBdr>
      <w:divsChild>
        <w:div w:id="1795100628">
          <w:marLeft w:val="806"/>
          <w:marRight w:val="0"/>
          <w:marTop w:val="240"/>
          <w:marBottom w:val="240"/>
          <w:divBdr>
            <w:top w:val="none" w:sz="0" w:space="0" w:color="auto"/>
            <w:left w:val="none" w:sz="0" w:space="0" w:color="auto"/>
            <w:bottom w:val="none" w:sz="0" w:space="0" w:color="auto"/>
            <w:right w:val="none" w:sz="0" w:space="0" w:color="auto"/>
          </w:divBdr>
        </w:div>
        <w:div w:id="2049135085">
          <w:marLeft w:val="806"/>
          <w:marRight w:val="0"/>
          <w:marTop w:val="240"/>
          <w:marBottom w:val="240"/>
          <w:divBdr>
            <w:top w:val="none" w:sz="0" w:space="0" w:color="auto"/>
            <w:left w:val="none" w:sz="0" w:space="0" w:color="auto"/>
            <w:bottom w:val="none" w:sz="0" w:space="0" w:color="auto"/>
            <w:right w:val="none" w:sz="0" w:space="0" w:color="auto"/>
          </w:divBdr>
        </w:div>
        <w:div w:id="2131970066">
          <w:marLeft w:val="806"/>
          <w:marRight w:val="0"/>
          <w:marTop w:val="240"/>
          <w:marBottom w:val="240"/>
          <w:divBdr>
            <w:top w:val="none" w:sz="0" w:space="0" w:color="auto"/>
            <w:left w:val="none" w:sz="0" w:space="0" w:color="auto"/>
            <w:bottom w:val="none" w:sz="0" w:space="0" w:color="auto"/>
            <w:right w:val="none" w:sz="0" w:space="0" w:color="auto"/>
          </w:divBdr>
        </w:div>
      </w:divsChild>
    </w:div>
    <w:div w:id="146942375">
      <w:bodyDiv w:val="1"/>
      <w:marLeft w:val="0"/>
      <w:marRight w:val="0"/>
      <w:marTop w:val="0"/>
      <w:marBottom w:val="0"/>
      <w:divBdr>
        <w:top w:val="none" w:sz="0" w:space="0" w:color="auto"/>
        <w:left w:val="none" w:sz="0" w:space="0" w:color="auto"/>
        <w:bottom w:val="none" w:sz="0" w:space="0" w:color="auto"/>
        <w:right w:val="none" w:sz="0" w:space="0" w:color="auto"/>
      </w:divBdr>
    </w:div>
    <w:div w:id="226959295">
      <w:bodyDiv w:val="1"/>
      <w:marLeft w:val="0"/>
      <w:marRight w:val="0"/>
      <w:marTop w:val="0"/>
      <w:marBottom w:val="0"/>
      <w:divBdr>
        <w:top w:val="none" w:sz="0" w:space="0" w:color="auto"/>
        <w:left w:val="none" w:sz="0" w:space="0" w:color="auto"/>
        <w:bottom w:val="none" w:sz="0" w:space="0" w:color="auto"/>
        <w:right w:val="none" w:sz="0" w:space="0" w:color="auto"/>
      </w:divBdr>
      <w:divsChild>
        <w:div w:id="1038318333">
          <w:marLeft w:val="360"/>
          <w:marRight w:val="0"/>
          <w:marTop w:val="120"/>
          <w:marBottom w:val="120"/>
          <w:divBdr>
            <w:top w:val="none" w:sz="0" w:space="0" w:color="auto"/>
            <w:left w:val="none" w:sz="0" w:space="0" w:color="auto"/>
            <w:bottom w:val="none" w:sz="0" w:space="0" w:color="auto"/>
            <w:right w:val="none" w:sz="0" w:space="0" w:color="auto"/>
          </w:divBdr>
        </w:div>
        <w:div w:id="832837222">
          <w:marLeft w:val="360"/>
          <w:marRight w:val="0"/>
          <w:marTop w:val="120"/>
          <w:marBottom w:val="120"/>
          <w:divBdr>
            <w:top w:val="none" w:sz="0" w:space="0" w:color="auto"/>
            <w:left w:val="none" w:sz="0" w:space="0" w:color="auto"/>
            <w:bottom w:val="none" w:sz="0" w:space="0" w:color="auto"/>
            <w:right w:val="none" w:sz="0" w:space="0" w:color="auto"/>
          </w:divBdr>
        </w:div>
        <w:div w:id="901061250">
          <w:marLeft w:val="360"/>
          <w:marRight w:val="0"/>
          <w:marTop w:val="120"/>
          <w:marBottom w:val="120"/>
          <w:divBdr>
            <w:top w:val="none" w:sz="0" w:space="0" w:color="auto"/>
            <w:left w:val="none" w:sz="0" w:space="0" w:color="auto"/>
            <w:bottom w:val="none" w:sz="0" w:space="0" w:color="auto"/>
            <w:right w:val="none" w:sz="0" w:space="0" w:color="auto"/>
          </w:divBdr>
        </w:div>
        <w:div w:id="369574721">
          <w:marLeft w:val="1253"/>
          <w:marRight w:val="0"/>
          <w:marTop w:val="120"/>
          <w:marBottom w:val="120"/>
          <w:divBdr>
            <w:top w:val="none" w:sz="0" w:space="0" w:color="auto"/>
            <w:left w:val="none" w:sz="0" w:space="0" w:color="auto"/>
            <w:bottom w:val="none" w:sz="0" w:space="0" w:color="auto"/>
            <w:right w:val="none" w:sz="0" w:space="0" w:color="auto"/>
          </w:divBdr>
        </w:div>
        <w:div w:id="397021993">
          <w:marLeft w:val="1253"/>
          <w:marRight w:val="0"/>
          <w:marTop w:val="120"/>
          <w:marBottom w:val="120"/>
          <w:divBdr>
            <w:top w:val="none" w:sz="0" w:space="0" w:color="auto"/>
            <w:left w:val="none" w:sz="0" w:space="0" w:color="auto"/>
            <w:bottom w:val="none" w:sz="0" w:space="0" w:color="auto"/>
            <w:right w:val="none" w:sz="0" w:space="0" w:color="auto"/>
          </w:divBdr>
        </w:div>
        <w:div w:id="722172796">
          <w:marLeft w:val="360"/>
          <w:marRight w:val="0"/>
          <w:marTop w:val="120"/>
          <w:marBottom w:val="120"/>
          <w:divBdr>
            <w:top w:val="none" w:sz="0" w:space="0" w:color="auto"/>
            <w:left w:val="none" w:sz="0" w:space="0" w:color="auto"/>
            <w:bottom w:val="none" w:sz="0" w:space="0" w:color="auto"/>
            <w:right w:val="none" w:sz="0" w:space="0" w:color="auto"/>
          </w:divBdr>
        </w:div>
        <w:div w:id="81344233">
          <w:marLeft w:val="1253"/>
          <w:marRight w:val="0"/>
          <w:marTop w:val="120"/>
          <w:marBottom w:val="120"/>
          <w:divBdr>
            <w:top w:val="none" w:sz="0" w:space="0" w:color="auto"/>
            <w:left w:val="none" w:sz="0" w:space="0" w:color="auto"/>
            <w:bottom w:val="none" w:sz="0" w:space="0" w:color="auto"/>
            <w:right w:val="none" w:sz="0" w:space="0" w:color="auto"/>
          </w:divBdr>
        </w:div>
        <w:div w:id="1087385467">
          <w:marLeft w:val="1253"/>
          <w:marRight w:val="0"/>
          <w:marTop w:val="120"/>
          <w:marBottom w:val="120"/>
          <w:divBdr>
            <w:top w:val="none" w:sz="0" w:space="0" w:color="auto"/>
            <w:left w:val="none" w:sz="0" w:space="0" w:color="auto"/>
            <w:bottom w:val="none" w:sz="0" w:space="0" w:color="auto"/>
            <w:right w:val="none" w:sz="0" w:space="0" w:color="auto"/>
          </w:divBdr>
        </w:div>
      </w:divsChild>
    </w:div>
    <w:div w:id="268975524">
      <w:bodyDiv w:val="1"/>
      <w:marLeft w:val="0"/>
      <w:marRight w:val="0"/>
      <w:marTop w:val="0"/>
      <w:marBottom w:val="0"/>
      <w:divBdr>
        <w:top w:val="none" w:sz="0" w:space="0" w:color="auto"/>
        <w:left w:val="none" w:sz="0" w:space="0" w:color="auto"/>
        <w:bottom w:val="none" w:sz="0" w:space="0" w:color="auto"/>
        <w:right w:val="none" w:sz="0" w:space="0" w:color="auto"/>
      </w:divBdr>
      <w:divsChild>
        <w:div w:id="114953459">
          <w:marLeft w:val="360"/>
          <w:marRight w:val="0"/>
          <w:marTop w:val="120"/>
          <w:marBottom w:val="120"/>
          <w:divBdr>
            <w:top w:val="none" w:sz="0" w:space="0" w:color="auto"/>
            <w:left w:val="none" w:sz="0" w:space="0" w:color="auto"/>
            <w:bottom w:val="none" w:sz="0" w:space="0" w:color="auto"/>
            <w:right w:val="none" w:sz="0" w:space="0" w:color="auto"/>
          </w:divBdr>
        </w:div>
        <w:div w:id="830414720">
          <w:marLeft w:val="1080"/>
          <w:marRight w:val="0"/>
          <w:marTop w:val="120"/>
          <w:marBottom w:val="120"/>
          <w:divBdr>
            <w:top w:val="none" w:sz="0" w:space="0" w:color="auto"/>
            <w:left w:val="none" w:sz="0" w:space="0" w:color="auto"/>
            <w:bottom w:val="none" w:sz="0" w:space="0" w:color="auto"/>
            <w:right w:val="none" w:sz="0" w:space="0" w:color="auto"/>
          </w:divBdr>
        </w:div>
        <w:div w:id="1032607590">
          <w:marLeft w:val="1080"/>
          <w:marRight w:val="0"/>
          <w:marTop w:val="120"/>
          <w:marBottom w:val="120"/>
          <w:divBdr>
            <w:top w:val="none" w:sz="0" w:space="0" w:color="auto"/>
            <w:left w:val="none" w:sz="0" w:space="0" w:color="auto"/>
            <w:bottom w:val="none" w:sz="0" w:space="0" w:color="auto"/>
            <w:right w:val="none" w:sz="0" w:space="0" w:color="auto"/>
          </w:divBdr>
        </w:div>
      </w:divsChild>
    </w:div>
    <w:div w:id="309360498">
      <w:bodyDiv w:val="1"/>
      <w:marLeft w:val="0"/>
      <w:marRight w:val="0"/>
      <w:marTop w:val="0"/>
      <w:marBottom w:val="0"/>
      <w:divBdr>
        <w:top w:val="none" w:sz="0" w:space="0" w:color="auto"/>
        <w:left w:val="none" w:sz="0" w:space="0" w:color="auto"/>
        <w:bottom w:val="none" w:sz="0" w:space="0" w:color="auto"/>
        <w:right w:val="none" w:sz="0" w:space="0" w:color="auto"/>
      </w:divBdr>
      <w:divsChild>
        <w:div w:id="972563942">
          <w:marLeft w:val="360"/>
          <w:marRight w:val="0"/>
          <w:marTop w:val="120"/>
          <w:marBottom w:val="120"/>
          <w:divBdr>
            <w:top w:val="none" w:sz="0" w:space="0" w:color="auto"/>
            <w:left w:val="none" w:sz="0" w:space="0" w:color="auto"/>
            <w:bottom w:val="none" w:sz="0" w:space="0" w:color="auto"/>
            <w:right w:val="none" w:sz="0" w:space="0" w:color="auto"/>
          </w:divBdr>
        </w:div>
        <w:div w:id="533420478">
          <w:marLeft w:val="360"/>
          <w:marRight w:val="0"/>
          <w:marTop w:val="120"/>
          <w:marBottom w:val="120"/>
          <w:divBdr>
            <w:top w:val="none" w:sz="0" w:space="0" w:color="auto"/>
            <w:left w:val="none" w:sz="0" w:space="0" w:color="auto"/>
            <w:bottom w:val="none" w:sz="0" w:space="0" w:color="auto"/>
            <w:right w:val="none" w:sz="0" w:space="0" w:color="auto"/>
          </w:divBdr>
        </w:div>
        <w:div w:id="393166166">
          <w:marLeft w:val="360"/>
          <w:marRight w:val="0"/>
          <w:marTop w:val="120"/>
          <w:marBottom w:val="120"/>
          <w:divBdr>
            <w:top w:val="none" w:sz="0" w:space="0" w:color="auto"/>
            <w:left w:val="none" w:sz="0" w:space="0" w:color="auto"/>
            <w:bottom w:val="none" w:sz="0" w:space="0" w:color="auto"/>
            <w:right w:val="none" w:sz="0" w:space="0" w:color="auto"/>
          </w:divBdr>
        </w:div>
        <w:div w:id="1263994080">
          <w:marLeft w:val="360"/>
          <w:marRight w:val="0"/>
          <w:marTop w:val="120"/>
          <w:marBottom w:val="120"/>
          <w:divBdr>
            <w:top w:val="none" w:sz="0" w:space="0" w:color="auto"/>
            <w:left w:val="none" w:sz="0" w:space="0" w:color="auto"/>
            <w:bottom w:val="none" w:sz="0" w:space="0" w:color="auto"/>
            <w:right w:val="none" w:sz="0" w:space="0" w:color="auto"/>
          </w:divBdr>
        </w:div>
      </w:divsChild>
    </w:div>
    <w:div w:id="389888494">
      <w:bodyDiv w:val="1"/>
      <w:marLeft w:val="0"/>
      <w:marRight w:val="0"/>
      <w:marTop w:val="0"/>
      <w:marBottom w:val="0"/>
      <w:divBdr>
        <w:top w:val="none" w:sz="0" w:space="0" w:color="auto"/>
        <w:left w:val="none" w:sz="0" w:space="0" w:color="auto"/>
        <w:bottom w:val="none" w:sz="0" w:space="0" w:color="auto"/>
        <w:right w:val="none" w:sz="0" w:space="0" w:color="auto"/>
      </w:divBdr>
      <w:divsChild>
        <w:div w:id="1898544558">
          <w:marLeft w:val="936"/>
          <w:marRight w:val="0"/>
          <w:marTop w:val="0"/>
          <w:marBottom w:val="120"/>
          <w:divBdr>
            <w:top w:val="none" w:sz="0" w:space="0" w:color="auto"/>
            <w:left w:val="none" w:sz="0" w:space="0" w:color="auto"/>
            <w:bottom w:val="none" w:sz="0" w:space="0" w:color="auto"/>
            <w:right w:val="none" w:sz="0" w:space="0" w:color="auto"/>
          </w:divBdr>
        </w:div>
        <w:div w:id="1952199834">
          <w:marLeft w:val="936"/>
          <w:marRight w:val="0"/>
          <w:marTop w:val="0"/>
          <w:marBottom w:val="120"/>
          <w:divBdr>
            <w:top w:val="none" w:sz="0" w:space="0" w:color="auto"/>
            <w:left w:val="none" w:sz="0" w:space="0" w:color="auto"/>
            <w:bottom w:val="none" w:sz="0" w:space="0" w:color="auto"/>
            <w:right w:val="none" w:sz="0" w:space="0" w:color="auto"/>
          </w:divBdr>
        </w:div>
        <w:div w:id="1917085340">
          <w:marLeft w:val="936"/>
          <w:marRight w:val="0"/>
          <w:marTop w:val="0"/>
          <w:marBottom w:val="120"/>
          <w:divBdr>
            <w:top w:val="none" w:sz="0" w:space="0" w:color="auto"/>
            <w:left w:val="none" w:sz="0" w:space="0" w:color="auto"/>
            <w:bottom w:val="none" w:sz="0" w:space="0" w:color="auto"/>
            <w:right w:val="none" w:sz="0" w:space="0" w:color="auto"/>
          </w:divBdr>
        </w:div>
        <w:div w:id="880554628">
          <w:marLeft w:val="936"/>
          <w:marRight w:val="0"/>
          <w:marTop w:val="0"/>
          <w:marBottom w:val="120"/>
          <w:divBdr>
            <w:top w:val="none" w:sz="0" w:space="0" w:color="auto"/>
            <w:left w:val="none" w:sz="0" w:space="0" w:color="auto"/>
            <w:bottom w:val="none" w:sz="0" w:space="0" w:color="auto"/>
            <w:right w:val="none" w:sz="0" w:space="0" w:color="auto"/>
          </w:divBdr>
        </w:div>
      </w:divsChild>
    </w:div>
    <w:div w:id="390471405">
      <w:bodyDiv w:val="1"/>
      <w:marLeft w:val="0"/>
      <w:marRight w:val="0"/>
      <w:marTop w:val="0"/>
      <w:marBottom w:val="0"/>
      <w:divBdr>
        <w:top w:val="none" w:sz="0" w:space="0" w:color="auto"/>
        <w:left w:val="none" w:sz="0" w:space="0" w:color="auto"/>
        <w:bottom w:val="none" w:sz="0" w:space="0" w:color="auto"/>
        <w:right w:val="none" w:sz="0" w:space="0" w:color="auto"/>
      </w:divBdr>
      <w:divsChild>
        <w:div w:id="429274584">
          <w:marLeft w:val="360"/>
          <w:marRight w:val="0"/>
          <w:marTop w:val="240"/>
          <w:marBottom w:val="240"/>
          <w:divBdr>
            <w:top w:val="none" w:sz="0" w:space="0" w:color="auto"/>
            <w:left w:val="none" w:sz="0" w:space="0" w:color="auto"/>
            <w:bottom w:val="none" w:sz="0" w:space="0" w:color="auto"/>
            <w:right w:val="none" w:sz="0" w:space="0" w:color="auto"/>
          </w:divBdr>
        </w:div>
        <w:div w:id="630863115">
          <w:marLeft w:val="360"/>
          <w:marRight w:val="0"/>
          <w:marTop w:val="240"/>
          <w:marBottom w:val="240"/>
          <w:divBdr>
            <w:top w:val="none" w:sz="0" w:space="0" w:color="auto"/>
            <w:left w:val="none" w:sz="0" w:space="0" w:color="auto"/>
            <w:bottom w:val="none" w:sz="0" w:space="0" w:color="auto"/>
            <w:right w:val="none" w:sz="0" w:space="0" w:color="auto"/>
          </w:divBdr>
        </w:div>
        <w:div w:id="1902787732">
          <w:marLeft w:val="360"/>
          <w:marRight w:val="0"/>
          <w:marTop w:val="240"/>
          <w:marBottom w:val="240"/>
          <w:divBdr>
            <w:top w:val="none" w:sz="0" w:space="0" w:color="auto"/>
            <w:left w:val="none" w:sz="0" w:space="0" w:color="auto"/>
            <w:bottom w:val="none" w:sz="0" w:space="0" w:color="auto"/>
            <w:right w:val="none" w:sz="0" w:space="0" w:color="auto"/>
          </w:divBdr>
        </w:div>
      </w:divsChild>
    </w:div>
    <w:div w:id="437868740">
      <w:bodyDiv w:val="1"/>
      <w:marLeft w:val="0"/>
      <w:marRight w:val="0"/>
      <w:marTop w:val="0"/>
      <w:marBottom w:val="0"/>
      <w:divBdr>
        <w:top w:val="none" w:sz="0" w:space="0" w:color="auto"/>
        <w:left w:val="none" w:sz="0" w:space="0" w:color="auto"/>
        <w:bottom w:val="none" w:sz="0" w:space="0" w:color="auto"/>
        <w:right w:val="none" w:sz="0" w:space="0" w:color="auto"/>
      </w:divBdr>
    </w:div>
    <w:div w:id="453135537">
      <w:bodyDiv w:val="1"/>
      <w:marLeft w:val="0"/>
      <w:marRight w:val="0"/>
      <w:marTop w:val="0"/>
      <w:marBottom w:val="0"/>
      <w:divBdr>
        <w:top w:val="none" w:sz="0" w:space="0" w:color="auto"/>
        <w:left w:val="none" w:sz="0" w:space="0" w:color="auto"/>
        <w:bottom w:val="none" w:sz="0" w:space="0" w:color="auto"/>
        <w:right w:val="none" w:sz="0" w:space="0" w:color="auto"/>
      </w:divBdr>
    </w:div>
    <w:div w:id="474177985">
      <w:bodyDiv w:val="1"/>
      <w:marLeft w:val="0"/>
      <w:marRight w:val="0"/>
      <w:marTop w:val="0"/>
      <w:marBottom w:val="0"/>
      <w:divBdr>
        <w:top w:val="none" w:sz="0" w:space="0" w:color="auto"/>
        <w:left w:val="none" w:sz="0" w:space="0" w:color="auto"/>
        <w:bottom w:val="none" w:sz="0" w:space="0" w:color="auto"/>
        <w:right w:val="none" w:sz="0" w:space="0" w:color="auto"/>
      </w:divBdr>
    </w:div>
    <w:div w:id="507401947">
      <w:bodyDiv w:val="1"/>
      <w:marLeft w:val="0"/>
      <w:marRight w:val="0"/>
      <w:marTop w:val="0"/>
      <w:marBottom w:val="0"/>
      <w:divBdr>
        <w:top w:val="none" w:sz="0" w:space="0" w:color="auto"/>
        <w:left w:val="none" w:sz="0" w:space="0" w:color="auto"/>
        <w:bottom w:val="none" w:sz="0" w:space="0" w:color="auto"/>
        <w:right w:val="none" w:sz="0" w:space="0" w:color="auto"/>
      </w:divBdr>
      <w:divsChild>
        <w:div w:id="897010747">
          <w:marLeft w:val="1253"/>
          <w:marRight w:val="0"/>
          <w:marTop w:val="0"/>
          <w:marBottom w:val="240"/>
          <w:divBdr>
            <w:top w:val="none" w:sz="0" w:space="0" w:color="auto"/>
            <w:left w:val="none" w:sz="0" w:space="0" w:color="auto"/>
            <w:bottom w:val="none" w:sz="0" w:space="0" w:color="auto"/>
            <w:right w:val="none" w:sz="0" w:space="0" w:color="auto"/>
          </w:divBdr>
        </w:div>
        <w:div w:id="2097165893">
          <w:marLeft w:val="1253"/>
          <w:marRight w:val="0"/>
          <w:marTop w:val="0"/>
          <w:marBottom w:val="240"/>
          <w:divBdr>
            <w:top w:val="none" w:sz="0" w:space="0" w:color="auto"/>
            <w:left w:val="none" w:sz="0" w:space="0" w:color="auto"/>
            <w:bottom w:val="none" w:sz="0" w:space="0" w:color="auto"/>
            <w:right w:val="none" w:sz="0" w:space="0" w:color="auto"/>
          </w:divBdr>
        </w:div>
        <w:div w:id="1525900546">
          <w:marLeft w:val="1253"/>
          <w:marRight w:val="0"/>
          <w:marTop w:val="0"/>
          <w:marBottom w:val="240"/>
          <w:divBdr>
            <w:top w:val="none" w:sz="0" w:space="0" w:color="auto"/>
            <w:left w:val="none" w:sz="0" w:space="0" w:color="auto"/>
            <w:bottom w:val="none" w:sz="0" w:space="0" w:color="auto"/>
            <w:right w:val="none" w:sz="0" w:space="0" w:color="auto"/>
          </w:divBdr>
        </w:div>
        <w:div w:id="966662513">
          <w:marLeft w:val="1253"/>
          <w:marRight w:val="0"/>
          <w:marTop w:val="0"/>
          <w:marBottom w:val="240"/>
          <w:divBdr>
            <w:top w:val="none" w:sz="0" w:space="0" w:color="auto"/>
            <w:left w:val="none" w:sz="0" w:space="0" w:color="auto"/>
            <w:bottom w:val="none" w:sz="0" w:space="0" w:color="auto"/>
            <w:right w:val="none" w:sz="0" w:space="0" w:color="auto"/>
          </w:divBdr>
        </w:div>
      </w:divsChild>
    </w:div>
    <w:div w:id="512183802">
      <w:bodyDiv w:val="1"/>
      <w:marLeft w:val="0"/>
      <w:marRight w:val="0"/>
      <w:marTop w:val="0"/>
      <w:marBottom w:val="0"/>
      <w:divBdr>
        <w:top w:val="none" w:sz="0" w:space="0" w:color="auto"/>
        <w:left w:val="none" w:sz="0" w:space="0" w:color="auto"/>
        <w:bottom w:val="none" w:sz="0" w:space="0" w:color="auto"/>
        <w:right w:val="none" w:sz="0" w:space="0" w:color="auto"/>
      </w:divBdr>
      <w:divsChild>
        <w:div w:id="1570966678">
          <w:marLeft w:val="360"/>
          <w:marRight w:val="0"/>
          <w:marTop w:val="120"/>
          <w:marBottom w:val="120"/>
          <w:divBdr>
            <w:top w:val="none" w:sz="0" w:space="0" w:color="auto"/>
            <w:left w:val="none" w:sz="0" w:space="0" w:color="auto"/>
            <w:bottom w:val="none" w:sz="0" w:space="0" w:color="auto"/>
            <w:right w:val="none" w:sz="0" w:space="0" w:color="auto"/>
          </w:divBdr>
        </w:div>
        <w:div w:id="1000276847">
          <w:marLeft w:val="1080"/>
          <w:marRight w:val="0"/>
          <w:marTop w:val="120"/>
          <w:marBottom w:val="120"/>
          <w:divBdr>
            <w:top w:val="none" w:sz="0" w:space="0" w:color="auto"/>
            <w:left w:val="none" w:sz="0" w:space="0" w:color="auto"/>
            <w:bottom w:val="none" w:sz="0" w:space="0" w:color="auto"/>
            <w:right w:val="none" w:sz="0" w:space="0" w:color="auto"/>
          </w:divBdr>
        </w:div>
        <w:div w:id="1057050313">
          <w:marLeft w:val="360"/>
          <w:marRight w:val="0"/>
          <w:marTop w:val="120"/>
          <w:marBottom w:val="120"/>
          <w:divBdr>
            <w:top w:val="none" w:sz="0" w:space="0" w:color="auto"/>
            <w:left w:val="none" w:sz="0" w:space="0" w:color="auto"/>
            <w:bottom w:val="none" w:sz="0" w:space="0" w:color="auto"/>
            <w:right w:val="none" w:sz="0" w:space="0" w:color="auto"/>
          </w:divBdr>
        </w:div>
      </w:divsChild>
    </w:div>
    <w:div w:id="517280851">
      <w:bodyDiv w:val="1"/>
      <w:marLeft w:val="0"/>
      <w:marRight w:val="0"/>
      <w:marTop w:val="0"/>
      <w:marBottom w:val="0"/>
      <w:divBdr>
        <w:top w:val="none" w:sz="0" w:space="0" w:color="auto"/>
        <w:left w:val="none" w:sz="0" w:space="0" w:color="auto"/>
        <w:bottom w:val="none" w:sz="0" w:space="0" w:color="auto"/>
        <w:right w:val="none" w:sz="0" w:space="0" w:color="auto"/>
      </w:divBdr>
      <w:divsChild>
        <w:div w:id="990134445">
          <w:marLeft w:val="360"/>
          <w:marRight w:val="0"/>
          <w:marTop w:val="120"/>
          <w:marBottom w:val="120"/>
          <w:divBdr>
            <w:top w:val="none" w:sz="0" w:space="0" w:color="auto"/>
            <w:left w:val="none" w:sz="0" w:space="0" w:color="auto"/>
            <w:bottom w:val="none" w:sz="0" w:space="0" w:color="auto"/>
            <w:right w:val="none" w:sz="0" w:space="0" w:color="auto"/>
          </w:divBdr>
        </w:div>
        <w:div w:id="801194984">
          <w:marLeft w:val="1080"/>
          <w:marRight w:val="0"/>
          <w:marTop w:val="120"/>
          <w:marBottom w:val="120"/>
          <w:divBdr>
            <w:top w:val="none" w:sz="0" w:space="0" w:color="auto"/>
            <w:left w:val="none" w:sz="0" w:space="0" w:color="auto"/>
            <w:bottom w:val="none" w:sz="0" w:space="0" w:color="auto"/>
            <w:right w:val="none" w:sz="0" w:space="0" w:color="auto"/>
          </w:divBdr>
        </w:div>
        <w:div w:id="2011061026">
          <w:marLeft w:val="360"/>
          <w:marRight w:val="0"/>
          <w:marTop w:val="120"/>
          <w:marBottom w:val="120"/>
          <w:divBdr>
            <w:top w:val="none" w:sz="0" w:space="0" w:color="auto"/>
            <w:left w:val="none" w:sz="0" w:space="0" w:color="auto"/>
            <w:bottom w:val="none" w:sz="0" w:space="0" w:color="auto"/>
            <w:right w:val="none" w:sz="0" w:space="0" w:color="auto"/>
          </w:divBdr>
        </w:div>
        <w:div w:id="2122727158">
          <w:marLeft w:val="360"/>
          <w:marRight w:val="0"/>
          <w:marTop w:val="120"/>
          <w:marBottom w:val="120"/>
          <w:divBdr>
            <w:top w:val="none" w:sz="0" w:space="0" w:color="auto"/>
            <w:left w:val="none" w:sz="0" w:space="0" w:color="auto"/>
            <w:bottom w:val="none" w:sz="0" w:space="0" w:color="auto"/>
            <w:right w:val="none" w:sz="0" w:space="0" w:color="auto"/>
          </w:divBdr>
        </w:div>
        <w:div w:id="1329289578">
          <w:marLeft w:val="1080"/>
          <w:marRight w:val="0"/>
          <w:marTop w:val="120"/>
          <w:marBottom w:val="120"/>
          <w:divBdr>
            <w:top w:val="none" w:sz="0" w:space="0" w:color="auto"/>
            <w:left w:val="none" w:sz="0" w:space="0" w:color="auto"/>
            <w:bottom w:val="none" w:sz="0" w:space="0" w:color="auto"/>
            <w:right w:val="none" w:sz="0" w:space="0" w:color="auto"/>
          </w:divBdr>
        </w:div>
        <w:div w:id="121309182">
          <w:marLeft w:val="1080"/>
          <w:marRight w:val="0"/>
          <w:marTop w:val="120"/>
          <w:marBottom w:val="120"/>
          <w:divBdr>
            <w:top w:val="none" w:sz="0" w:space="0" w:color="auto"/>
            <w:left w:val="none" w:sz="0" w:space="0" w:color="auto"/>
            <w:bottom w:val="none" w:sz="0" w:space="0" w:color="auto"/>
            <w:right w:val="none" w:sz="0" w:space="0" w:color="auto"/>
          </w:divBdr>
        </w:div>
        <w:div w:id="632977363">
          <w:marLeft w:val="1080"/>
          <w:marRight w:val="0"/>
          <w:marTop w:val="120"/>
          <w:marBottom w:val="120"/>
          <w:divBdr>
            <w:top w:val="none" w:sz="0" w:space="0" w:color="auto"/>
            <w:left w:val="none" w:sz="0" w:space="0" w:color="auto"/>
            <w:bottom w:val="none" w:sz="0" w:space="0" w:color="auto"/>
            <w:right w:val="none" w:sz="0" w:space="0" w:color="auto"/>
          </w:divBdr>
        </w:div>
        <w:div w:id="986781408">
          <w:marLeft w:val="1080"/>
          <w:marRight w:val="0"/>
          <w:marTop w:val="120"/>
          <w:marBottom w:val="120"/>
          <w:divBdr>
            <w:top w:val="none" w:sz="0" w:space="0" w:color="auto"/>
            <w:left w:val="none" w:sz="0" w:space="0" w:color="auto"/>
            <w:bottom w:val="none" w:sz="0" w:space="0" w:color="auto"/>
            <w:right w:val="none" w:sz="0" w:space="0" w:color="auto"/>
          </w:divBdr>
        </w:div>
        <w:div w:id="1670644213">
          <w:marLeft w:val="360"/>
          <w:marRight w:val="0"/>
          <w:marTop w:val="120"/>
          <w:marBottom w:val="120"/>
          <w:divBdr>
            <w:top w:val="none" w:sz="0" w:space="0" w:color="auto"/>
            <w:left w:val="none" w:sz="0" w:space="0" w:color="auto"/>
            <w:bottom w:val="none" w:sz="0" w:space="0" w:color="auto"/>
            <w:right w:val="none" w:sz="0" w:space="0" w:color="auto"/>
          </w:divBdr>
        </w:div>
      </w:divsChild>
    </w:div>
    <w:div w:id="594169480">
      <w:bodyDiv w:val="1"/>
      <w:marLeft w:val="0"/>
      <w:marRight w:val="0"/>
      <w:marTop w:val="0"/>
      <w:marBottom w:val="0"/>
      <w:divBdr>
        <w:top w:val="none" w:sz="0" w:space="0" w:color="auto"/>
        <w:left w:val="none" w:sz="0" w:space="0" w:color="auto"/>
        <w:bottom w:val="none" w:sz="0" w:space="0" w:color="auto"/>
        <w:right w:val="none" w:sz="0" w:space="0" w:color="auto"/>
      </w:divBdr>
      <w:divsChild>
        <w:div w:id="132606782">
          <w:marLeft w:val="1080"/>
          <w:marRight w:val="0"/>
          <w:marTop w:val="240"/>
          <w:marBottom w:val="120"/>
          <w:divBdr>
            <w:top w:val="none" w:sz="0" w:space="0" w:color="auto"/>
            <w:left w:val="none" w:sz="0" w:space="0" w:color="auto"/>
            <w:bottom w:val="none" w:sz="0" w:space="0" w:color="auto"/>
            <w:right w:val="none" w:sz="0" w:space="0" w:color="auto"/>
          </w:divBdr>
        </w:div>
        <w:div w:id="1478840796">
          <w:marLeft w:val="360"/>
          <w:marRight w:val="0"/>
          <w:marTop w:val="200"/>
          <w:marBottom w:val="120"/>
          <w:divBdr>
            <w:top w:val="none" w:sz="0" w:space="0" w:color="auto"/>
            <w:left w:val="none" w:sz="0" w:space="0" w:color="auto"/>
            <w:bottom w:val="none" w:sz="0" w:space="0" w:color="auto"/>
            <w:right w:val="none" w:sz="0" w:space="0" w:color="auto"/>
          </w:divBdr>
        </w:div>
        <w:div w:id="1870684675">
          <w:marLeft w:val="1080"/>
          <w:marRight w:val="0"/>
          <w:marTop w:val="240"/>
          <w:marBottom w:val="120"/>
          <w:divBdr>
            <w:top w:val="none" w:sz="0" w:space="0" w:color="auto"/>
            <w:left w:val="none" w:sz="0" w:space="0" w:color="auto"/>
            <w:bottom w:val="none" w:sz="0" w:space="0" w:color="auto"/>
            <w:right w:val="none" w:sz="0" w:space="0" w:color="auto"/>
          </w:divBdr>
        </w:div>
        <w:div w:id="1993369623">
          <w:marLeft w:val="1080"/>
          <w:marRight w:val="0"/>
          <w:marTop w:val="240"/>
          <w:marBottom w:val="120"/>
          <w:divBdr>
            <w:top w:val="none" w:sz="0" w:space="0" w:color="auto"/>
            <w:left w:val="none" w:sz="0" w:space="0" w:color="auto"/>
            <w:bottom w:val="none" w:sz="0" w:space="0" w:color="auto"/>
            <w:right w:val="none" w:sz="0" w:space="0" w:color="auto"/>
          </w:divBdr>
        </w:div>
      </w:divsChild>
    </w:div>
    <w:div w:id="683287601">
      <w:bodyDiv w:val="1"/>
      <w:marLeft w:val="0"/>
      <w:marRight w:val="0"/>
      <w:marTop w:val="0"/>
      <w:marBottom w:val="0"/>
      <w:divBdr>
        <w:top w:val="none" w:sz="0" w:space="0" w:color="auto"/>
        <w:left w:val="none" w:sz="0" w:space="0" w:color="auto"/>
        <w:bottom w:val="none" w:sz="0" w:space="0" w:color="auto"/>
        <w:right w:val="none" w:sz="0" w:space="0" w:color="auto"/>
      </w:divBdr>
    </w:div>
    <w:div w:id="683554701">
      <w:bodyDiv w:val="1"/>
      <w:marLeft w:val="0"/>
      <w:marRight w:val="0"/>
      <w:marTop w:val="0"/>
      <w:marBottom w:val="0"/>
      <w:divBdr>
        <w:top w:val="none" w:sz="0" w:space="0" w:color="auto"/>
        <w:left w:val="none" w:sz="0" w:space="0" w:color="auto"/>
        <w:bottom w:val="none" w:sz="0" w:space="0" w:color="auto"/>
        <w:right w:val="none" w:sz="0" w:space="0" w:color="auto"/>
      </w:divBdr>
    </w:div>
    <w:div w:id="704524578">
      <w:bodyDiv w:val="1"/>
      <w:marLeft w:val="0"/>
      <w:marRight w:val="0"/>
      <w:marTop w:val="0"/>
      <w:marBottom w:val="0"/>
      <w:divBdr>
        <w:top w:val="none" w:sz="0" w:space="0" w:color="auto"/>
        <w:left w:val="none" w:sz="0" w:space="0" w:color="auto"/>
        <w:bottom w:val="none" w:sz="0" w:space="0" w:color="auto"/>
        <w:right w:val="none" w:sz="0" w:space="0" w:color="auto"/>
      </w:divBdr>
      <w:divsChild>
        <w:div w:id="1198934508">
          <w:marLeft w:val="360"/>
          <w:marRight w:val="0"/>
          <w:marTop w:val="120"/>
          <w:marBottom w:val="120"/>
          <w:divBdr>
            <w:top w:val="none" w:sz="0" w:space="0" w:color="auto"/>
            <w:left w:val="none" w:sz="0" w:space="0" w:color="auto"/>
            <w:bottom w:val="none" w:sz="0" w:space="0" w:color="auto"/>
            <w:right w:val="none" w:sz="0" w:space="0" w:color="auto"/>
          </w:divBdr>
        </w:div>
        <w:div w:id="481699523">
          <w:marLeft w:val="360"/>
          <w:marRight w:val="0"/>
          <w:marTop w:val="120"/>
          <w:marBottom w:val="120"/>
          <w:divBdr>
            <w:top w:val="none" w:sz="0" w:space="0" w:color="auto"/>
            <w:left w:val="none" w:sz="0" w:space="0" w:color="auto"/>
            <w:bottom w:val="none" w:sz="0" w:space="0" w:color="auto"/>
            <w:right w:val="none" w:sz="0" w:space="0" w:color="auto"/>
          </w:divBdr>
        </w:div>
        <w:div w:id="1204440100">
          <w:marLeft w:val="360"/>
          <w:marRight w:val="0"/>
          <w:marTop w:val="120"/>
          <w:marBottom w:val="120"/>
          <w:divBdr>
            <w:top w:val="none" w:sz="0" w:space="0" w:color="auto"/>
            <w:left w:val="none" w:sz="0" w:space="0" w:color="auto"/>
            <w:bottom w:val="none" w:sz="0" w:space="0" w:color="auto"/>
            <w:right w:val="none" w:sz="0" w:space="0" w:color="auto"/>
          </w:divBdr>
        </w:div>
      </w:divsChild>
    </w:div>
    <w:div w:id="742485382">
      <w:bodyDiv w:val="1"/>
      <w:marLeft w:val="0"/>
      <w:marRight w:val="0"/>
      <w:marTop w:val="0"/>
      <w:marBottom w:val="0"/>
      <w:divBdr>
        <w:top w:val="none" w:sz="0" w:space="0" w:color="auto"/>
        <w:left w:val="none" w:sz="0" w:space="0" w:color="auto"/>
        <w:bottom w:val="none" w:sz="0" w:space="0" w:color="auto"/>
        <w:right w:val="none" w:sz="0" w:space="0" w:color="auto"/>
      </w:divBdr>
      <w:divsChild>
        <w:div w:id="1489445594">
          <w:marLeft w:val="360"/>
          <w:marRight w:val="0"/>
          <w:marTop w:val="200"/>
          <w:marBottom w:val="0"/>
          <w:divBdr>
            <w:top w:val="none" w:sz="0" w:space="0" w:color="auto"/>
            <w:left w:val="none" w:sz="0" w:space="0" w:color="auto"/>
            <w:bottom w:val="none" w:sz="0" w:space="0" w:color="auto"/>
            <w:right w:val="none" w:sz="0" w:space="0" w:color="auto"/>
          </w:divBdr>
        </w:div>
        <w:div w:id="1474905452">
          <w:marLeft w:val="360"/>
          <w:marRight w:val="0"/>
          <w:marTop w:val="200"/>
          <w:marBottom w:val="0"/>
          <w:divBdr>
            <w:top w:val="none" w:sz="0" w:space="0" w:color="auto"/>
            <w:left w:val="none" w:sz="0" w:space="0" w:color="auto"/>
            <w:bottom w:val="none" w:sz="0" w:space="0" w:color="auto"/>
            <w:right w:val="none" w:sz="0" w:space="0" w:color="auto"/>
          </w:divBdr>
        </w:div>
        <w:div w:id="1267083021">
          <w:marLeft w:val="360"/>
          <w:marRight w:val="0"/>
          <w:marTop w:val="200"/>
          <w:marBottom w:val="0"/>
          <w:divBdr>
            <w:top w:val="none" w:sz="0" w:space="0" w:color="auto"/>
            <w:left w:val="none" w:sz="0" w:space="0" w:color="auto"/>
            <w:bottom w:val="none" w:sz="0" w:space="0" w:color="auto"/>
            <w:right w:val="none" w:sz="0" w:space="0" w:color="auto"/>
          </w:divBdr>
        </w:div>
        <w:div w:id="2064909417">
          <w:marLeft w:val="360"/>
          <w:marRight w:val="0"/>
          <w:marTop w:val="200"/>
          <w:marBottom w:val="0"/>
          <w:divBdr>
            <w:top w:val="none" w:sz="0" w:space="0" w:color="auto"/>
            <w:left w:val="none" w:sz="0" w:space="0" w:color="auto"/>
            <w:bottom w:val="none" w:sz="0" w:space="0" w:color="auto"/>
            <w:right w:val="none" w:sz="0" w:space="0" w:color="auto"/>
          </w:divBdr>
        </w:div>
      </w:divsChild>
    </w:div>
    <w:div w:id="744305671">
      <w:bodyDiv w:val="1"/>
      <w:marLeft w:val="0"/>
      <w:marRight w:val="0"/>
      <w:marTop w:val="0"/>
      <w:marBottom w:val="0"/>
      <w:divBdr>
        <w:top w:val="none" w:sz="0" w:space="0" w:color="auto"/>
        <w:left w:val="none" w:sz="0" w:space="0" w:color="auto"/>
        <w:bottom w:val="none" w:sz="0" w:space="0" w:color="auto"/>
        <w:right w:val="none" w:sz="0" w:space="0" w:color="auto"/>
      </w:divBdr>
    </w:div>
    <w:div w:id="748039876">
      <w:bodyDiv w:val="1"/>
      <w:marLeft w:val="0"/>
      <w:marRight w:val="0"/>
      <w:marTop w:val="0"/>
      <w:marBottom w:val="0"/>
      <w:divBdr>
        <w:top w:val="none" w:sz="0" w:space="0" w:color="auto"/>
        <w:left w:val="none" w:sz="0" w:space="0" w:color="auto"/>
        <w:bottom w:val="none" w:sz="0" w:space="0" w:color="auto"/>
        <w:right w:val="none" w:sz="0" w:space="0" w:color="auto"/>
      </w:divBdr>
    </w:div>
    <w:div w:id="751387926">
      <w:bodyDiv w:val="1"/>
      <w:marLeft w:val="0"/>
      <w:marRight w:val="0"/>
      <w:marTop w:val="0"/>
      <w:marBottom w:val="0"/>
      <w:divBdr>
        <w:top w:val="none" w:sz="0" w:space="0" w:color="auto"/>
        <w:left w:val="none" w:sz="0" w:space="0" w:color="auto"/>
        <w:bottom w:val="none" w:sz="0" w:space="0" w:color="auto"/>
        <w:right w:val="none" w:sz="0" w:space="0" w:color="auto"/>
      </w:divBdr>
    </w:div>
    <w:div w:id="791561712">
      <w:bodyDiv w:val="1"/>
      <w:marLeft w:val="0"/>
      <w:marRight w:val="0"/>
      <w:marTop w:val="0"/>
      <w:marBottom w:val="0"/>
      <w:divBdr>
        <w:top w:val="none" w:sz="0" w:space="0" w:color="auto"/>
        <w:left w:val="none" w:sz="0" w:space="0" w:color="auto"/>
        <w:bottom w:val="none" w:sz="0" w:space="0" w:color="auto"/>
        <w:right w:val="none" w:sz="0" w:space="0" w:color="auto"/>
      </w:divBdr>
    </w:div>
    <w:div w:id="850414613">
      <w:bodyDiv w:val="1"/>
      <w:marLeft w:val="0"/>
      <w:marRight w:val="0"/>
      <w:marTop w:val="0"/>
      <w:marBottom w:val="0"/>
      <w:divBdr>
        <w:top w:val="none" w:sz="0" w:space="0" w:color="auto"/>
        <w:left w:val="none" w:sz="0" w:space="0" w:color="auto"/>
        <w:bottom w:val="none" w:sz="0" w:space="0" w:color="auto"/>
        <w:right w:val="none" w:sz="0" w:space="0" w:color="auto"/>
      </w:divBdr>
      <w:divsChild>
        <w:div w:id="1666012991">
          <w:marLeft w:val="0"/>
          <w:marRight w:val="0"/>
          <w:marTop w:val="0"/>
          <w:marBottom w:val="0"/>
          <w:divBdr>
            <w:top w:val="none" w:sz="0" w:space="0" w:color="auto"/>
            <w:left w:val="none" w:sz="0" w:space="0" w:color="auto"/>
            <w:bottom w:val="none" w:sz="0" w:space="0" w:color="auto"/>
            <w:right w:val="none" w:sz="0" w:space="0" w:color="auto"/>
          </w:divBdr>
          <w:divsChild>
            <w:div w:id="127281911">
              <w:marLeft w:val="0"/>
              <w:marRight w:val="0"/>
              <w:marTop w:val="0"/>
              <w:marBottom w:val="0"/>
              <w:divBdr>
                <w:top w:val="none" w:sz="0" w:space="0" w:color="auto"/>
                <w:left w:val="none" w:sz="0" w:space="0" w:color="auto"/>
                <w:bottom w:val="none" w:sz="0" w:space="0" w:color="auto"/>
                <w:right w:val="none" w:sz="0" w:space="0" w:color="auto"/>
              </w:divBdr>
            </w:div>
            <w:div w:id="881553870">
              <w:marLeft w:val="0"/>
              <w:marRight w:val="0"/>
              <w:marTop w:val="0"/>
              <w:marBottom w:val="180"/>
              <w:divBdr>
                <w:top w:val="none" w:sz="0" w:space="0" w:color="auto"/>
                <w:left w:val="none" w:sz="0" w:space="0" w:color="auto"/>
                <w:bottom w:val="none" w:sz="0" w:space="0" w:color="auto"/>
                <w:right w:val="none" w:sz="0" w:space="0" w:color="auto"/>
              </w:divBdr>
            </w:div>
          </w:divsChild>
        </w:div>
        <w:div w:id="1714769366">
          <w:marLeft w:val="0"/>
          <w:marRight w:val="0"/>
          <w:marTop w:val="0"/>
          <w:marBottom w:val="0"/>
          <w:divBdr>
            <w:top w:val="none" w:sz="0" w:space="0" w:color="auto"/>
            <w:left w:val="none" w:sz="0" w:space="0" w:color="auto"/>
            <w:bottom w:val="none" w:sz="0" w:space="0" w:color="auto"/>
            <w:right w:val="none" w:sz="0" w:space="0" w:color="auto"/>
          </w:divBdr>
        </w:div>
      </w:divsChild>
    </w:div>
    <w:div w:id="862669951">
      <w:bodyDiv w:val="1"/>
      <w:marLeft w:val="0"/>
      <w:marRight w:val="0"/>
      <w:marTop w:val="0"/>
      <w:marBottom w:val="0"/>
      <w:divBdr>
        <w:top w:val="none" w:sz="0" w:space="0" w:color="auto"/>
        <w:left w:val="none" w:sz="0" w:space="0" w:color="auto"/>
        <w:bottom w:val="none" w:sz="0" w:space="0" w:color="auto"/>
        <w:right w:val="none" w:sz="0" w:space="0" w:color="auto"/>
      </w:divBdr>
      <w:divsChild>
        <w:div w:id="664747096">
          <w:marLeft w:val="360"/>
          <w:marRight w:val="0"/>
          <w:marTop w:val="120"/>
          <w:marBottom w:val="120"/>
          <w:divBdr>
            <w:top w:val="none" w:sz="0" w:space="0" w:color="auto"/>
            <w:left w:val="none" w:sz="0" w:space="0" w:color="auto"/>
            <w:bottom w:val="none" w:sz="0" w:space="0" w:color="auto"/>
            <w:right w:val="none" w:sz="0" w:space="0" w:color="auto"/>
          </w:divBdr>
        </w:div>
        <w:div w:id="1310941626">
          <w:marLeft w:val="360"/>
          <w:marRight w:val="0"/>
          <w:marTop w:val="120"/>
          <w:marBottom w:val="120"/>
          <w:divBdr>
            <w:top w:val="none" w:sz="0" w:space="0" w:color="auto"/>
            <w:left w:val="none" w:sz="0" w:space="0" w:color="auto"/>
            <w:bottom w:val="none" w:sz="0" w:space="0" w:color="auto"/>
            <w:right w:val="none" w:sz="0" w:space="0" w:color="auto"/>
          </w:divBdr>
        </w:div>
        <w:div w:id="1557085654">
          <w:marLeft w:val="360"/>
          <w:marRight w:val="0"/>
          <w:marTop w:val="120"/>
          <w:marBottom w:val="120"/>
          <w:divBdr>
            <w:top w:val="none" w:sz="0" w:space="0" w:color="auto"/>
            <w:left w:val="none" w:sz="0" w:space="0" w:color="auto"/>
            <w:bottom w:val="none" w:sz="0" w:space="0" w:color="auto"/>
            <w:right w:val="none" w:sz="0" w:space="0" w:color="auto"/>
          </w:divBdr>
        </w:div>
        <w:div w:id="1863739603">
          <w:marLeft w:val="360"/>
          <w:marRight w:val="0"/>
          <w:marTop w:val="120"/>
          <w:marBottom w:val="120"/>
          <w:divBdr>
            <w:top w:val="none" w:sz="0" w:space="0" w:color="auto"/>
            <w:left w:val="none" w:sz="0" w:space="0" w:color="auto"/>
            <w:bottom w:val="none" w:sz="0" w:space="0" w:color="auto"/>
            <w:right w:val="none" w:sz="0" w:space="0" w:color="auto"/>
          </w:divBdr>
        </w:div>
        <w:div w:id="1874265443">
          <w:marLeft w:val="360"/>
          <w:marRight w:val="0"/>
          <w:marTop w:val="120"/>
          <w:marBottom w:val="120"/>
          <w:divBdr>
            <w:top w:val="none" w:sz="0" w:space="0" w:color="auto"/>
            <w:left w:val="none" w:sz="0" w:space="0" w:color="auto"/>
            <w:bottom w:val="none" w:sz="0" w:space="0" w:color="auto"/>
            <w:right w:val="none" w:sz="0" w:space="0" w:color="auto"/>
          </w:divBdr>
        </w:div>
      </w:divsChild>
    </w:div>
    <w:div w:id="866988396">
      <w:bodyDiv w:val="1"/>
      <w:marLeft w:val="0"/>
      <w:marRight w:val="0"/>
      <w:marTop w:val="0"/>
      <w:marBottom w:val="0"/>
      <w:divBdr>
        <w:top w:val="none" w:sz="0" w:space="0" w:color="auto"/>
        <w:left w:val="none" w:sz="0" w:space="0" w:color="auto"/>
        <w:bottom w:val="none" w:sz="0" w:space="0" w:color="auto"/>
        <w:right w:val="none" w:sz="0" w:space="0" w:color="auto"/>
      </w:divBdr>
    </w:div>
    <w:div w:id="879974424">
      <w:bodyDiv w:val="1"/>
      <w:marLeft w:val="0"/>
      <w:marRight w:val="0"/>
      <w:marTop w:val="0"/>
      <w:marBottom w:val="0"/>
      <w:divBdr>
        <w:top w:val="none" w:sz="0" w:space="0" w:color="auto"/>
        <w:left w:val="none" w:sz="0" w:space="0" w:color="auto"/>
        <w:bottom w:val="none" w:sz="0" w:space="0" w:color="auto"/>
        <w:right w:val="none" w:sz="0" w:space="0" w:color="auto"/>
      </w:divBdr>
    </w:div>
    <w:div w:id="909386065">
      <w:bodyDiv w:val="1"/>
      <w:marLeft w:val="0"/>
      <w:marRight w:val="0"/>
      <w:marTop w:val="0"/>
      <w:marBottom w:val="0"/>
      <w:divBdr>
        <w:top w:val="none" w:sz="0" w:space="0" w:color="auto"/>
        <w:left w:val="none" w:sz="0" w:space="0" w:color="auto"/>
        <w:bottom w:val="none" w:sz="0" w:space="0" w:color="auto"/>
        <w:right w:val="none" w:sz="0" w:space="0" w:color="auto"/>
      </w:divBdr>
      <w:divsChild>
        <w:div w:id="488789396">
          <w:marLeft w:val="0"/>
          <w:marRight w:val="0"/>
          <w:marTop w:val="0"/>
          <w:marBottom w:val="0"/>
          <w:divBdr>
            <w:top w:val="none" w:sz="0" w:space="0" w:color="auto"/>
            <w:left w:val="none" w:sz="0" w:space="0" w:color="auto"/>
            <w:bottom w:val="none" w:sz="0" w:space="0" w:color="auto"/>
            <w:right w:val="none" w:sz="0" w:space="0" w:color="auto"/>
          </w:divBdr>
          <w:divsChild>
            <w:div w:id="337192056">
              <w:marLeft w:val="0"/>
              <w:marRight w:val="0"/>
              <w:marTop w:val="0"/>
              <w:marBottom w:val="0"/>
              <w:divBdr>
                <w:top w:val="none" w:sz="0" w:space="0" w:color="auto"/>
                <w:left w:val="none" w:sz="0" w:space="0" w:color="auto"/>
                <w:bottom w:val="none" w:sz="0" w:space="0" w:color="auto"/>
                <w:right w:val="none" w:sz="0" w:space="0" w:color="auto"/>
              </w:divBdr>
              <w:divsChild>
                <w:div w:id="179859157">
                  <w:marLeft w:val="0"/>
                  <w:marRight w:val="0"/>
                  <w:marTop w:val="0"/>
                  <w:marBottom w:val="0"/>
                  <w:divBdr>
                    <w:top w:val="none" w:sz="0" w:space="0" w:color="auto"/>
                    <w:left w:val="none" w:sz="0" w:space="0" w:color="auto"/>
                    <w:bottom w:val="none" w:sz="0" w:space="0" w:color="auto"/>
                    <w:right w:val="none" w:sz="0" w:space="0" w:color="auto"/>
                  </w:divBdr>
                  <w:divsChild>
                    <w:div w:id="726302539">
                      <w:marLeft w:val="0"/>
                      <w:marRight w:val="0"/>
                      <w:marTop w:val="0"/>
                      <w:marBottom w:val="0"/>
                      <w:divBdr>
                        <w:top w:val="none" w:sz="0" w:space="0" w:color="auto"/>
                        <w:left w:val="none" w:sz="0" w:space="0" w:color="auto"/>
                        <w:bottom w:val="none" w:sz="0" w:space="0" w:color="auto"/>
                        <w:right w:val="none" w:sz="0" w:space="0" w:color="auto"/>
                      </w:divBdr>
                      <w:divsChild>
                        <w:div w:id="863598121">
                          <w:marLeft w:val="0"/>
                          <w:marRight w:val="0"/>
                          <w:marTop w:val="0"/>
                          <w:marBottom w:val="0"/>
                          <w:divBdr>
                            <w:top w:val="none" w:sz="0" w:space="0" w:color="auto"/>
                            <w:left w:val="none" w:sz="0" w:space="0" w:color="auto"/>
                            <w:bottom w:val="none" w:sz="0" w:space="0" w:color="auto"/>
                            <w:right w:val="none" w:sz="0" w:space="0" w:color="auto"/>
                          </w:divBdr>
                          <w:divsChild>
                            <w:div w:id="1845197937">
                              <w:marLeft w:val="0"/>
                              <w:marRight w:val="0"/>
                              <w:marTop w:val="0"/>
                              <w:marBottom w:val="0"/>
                              <w:divBdr>
                                <w:top w:val="none" w:sz="0" w:space="0" w:color="auto"/>
                                <w:left w:val="none" w:sz="0" w:space="0" w:color="auto"/>
                                <w:bottom w:val="none" w:sz="0" w:space="0" w:color="auto"/>
                                <w:right w:val="none" w:sz="0" w:space="0" w:color="auto"/>
                              </w:divBdr>
                              <w:divsChild>
                                <w:div w:id="1161315696">
                                  <w:marLeft w:val="0"/>
                                  <w:marRight w:val="0"/>
                                  <w:marTop w:val="0"/>
                                  <w:marBottom w:val="0"/>
                                  <w:divBdr>
                                    <w:top w:val="none" w:sz="0" w:space="0" w:color="auto"/>
                                    <w:left w:val="none" w:sz="0" w:space="0" w:color="auto"/>
                                    <w:bottom w:val="none" w:sz="0" w:space="0" w:color="auto"/>
                                    <w:right w:val="none" w:sz="0" w:space="0" w:color="auto"/>
                                  </w:divBdr>
                                  <w:divsChild>
                                    <w:div w:id="1358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598758">
      <w:bodyDiv w:val="1"/>
      <w:marLeft w:val="0"/>
      <w:marRight w:val="0"/>
      <w:marTop w:val="0"/>
      <w:marBottom w:val="0"/>
      <w:divBdr>
        <w:top w:val="none" w:sz="0" w:space="0" w:color="auto"/>
        <w:left w:val="none" w:sz="0" w:space="0" w:color="auto"/>
        <w:bottom w:val="none" w:sz="0" w:space="0" w:color="auto"/>
        <w:right w:val="none" w:sz="0" w:space="0" w:color="auto"/>
      </w:divBdr>
    </w:div>
    <w:div w:id="996885105">
      <w:bodyDiv w:val="1"/>
      <w:marLeft w:val="0"/>
      <w:marRight w:val="0"/>
      <w:marTop w:val="0"/>
      <w:marBottom w:val="0"/>
      <w:divBdr>
        <w:top w:val="none" w:sz="0" w:space="0" w:color="auto"/>
        <w:left w:val="none" w:sz="0" w:space="0" w:color="auto"/>
        <w:bottom w:val="none" w:sz="0" w:space="0" w:color="auto"/>
        <w:right w:val="none" w:sz="0" w:space="0" w:color="auto"/>
      </w:divBdr>
      <w:divsChild>
        <w:div w:id="1747264232">
          <w:marLeft w:val="0"/>
          <w:marRight w:val="0"/>
          <w:marTop w:val="0"/>
          <w:marBottom w:val="0"/>
          <w:divBdr>
            <w:top w:val="none" w:sz="0" w:space="0" w:color="auto"/>
            <w:left w:val="none" w:sz="0" w:space="0" w:color="auto"/>
            <w:bottom w:val="none" w:sz="0" w:space="0" w:color="auto"/>
            <w:right w:val="none" w:sz="0" w:space="0" w:color="auto"/>
          </w:divBdr>
          <w:divsChild>
            <w:div w:id="1921018500">
              <w:marLeft w:val="0"/>
              <w:marRight w:val="0"/>
              <w:marTop w:val="0"/>
              <w:marBottom w:val="0"/>
              <w:divBdr>
                <w:top w:val="none" w:sz="0" w:space="0" w:color="auto"/>
                <w:left w:val="none" w:sz="0" w:space="0" w:color="auto"/>
                <w:bottom w:val="none" w:sz="0" w:space="0" w:color="auto"/>
                <w:right w:val="none" w:sz="0" w:space="0" w:color="auto"/>
              </w:divBdr>
              <w:divsChild>
                <w:div w:id="10879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3779">
          <w:marLeft w:val="0"/>
          <w:marRight w:val="0"/>
          <w:marTop w:val="0"/>
          <w:marBottom w:val="0"/>
          <w:divBdr>
            <w:top w:val="none" w:sz="0" w:space="0" w:color="auto"/>
            <w:left w:val="none" w:sz="0" w:space="0" w:color="auto"/>
            <w:bottom w:val="none" w:sz="0" w:space="0" w:color="auto"/>
            <w:right w:val="none" w:sz="0" w:space="0" w:color="auto"/>
          </w:divBdr>
        </w:div>
      </w:divsChild>
    </w:div>
    <w:div w:id="1009212068">
      <w:bodyDiv w:val="1"/>
      <w:marLeft w:val="0"/>
      <w:marRight w:val="0"/>
      <w:marTop w:val="0"/>
      <w:marBottom w:val="0"/>
      <w:divBdr>
        <w:top w:val="none" w:sz="0" w:space="0" w:color="auto"/>
        <w:left w:val="none" w:sz="0" w:space="0" w:color="auto"/>
        <w:bottom w:val="none" w:sz="0" w:space="0" w:color="auto"/>
        <w:right w:val="none" w:sz="0" w:space="0" w:color="auto"/>
      </w:divBdr>
    </w:div>
    <w:div w:id="1014188614">
      <w:bodyDiv w:val="1"/>
      <w:marLeft w:val="0"/>
      <w:marRight w:val="0"/>
      <w:marTop w:val="0"/>
      <w:marBottom w:val="0"/>
      <w:divBdr>
        <w:top w:val="none" w:sz="0" w:space="0" w:color="auto"/>
        <w:left w:val="none" w:sz="0" w:space="0" w:color="auto"/>
        <w:bottom w:val="none" w:sz="0" w:space="0" w:color="auto"/>
        <w:right w:val="none" w:sz="0" w:space="0" w:color="auto"/>
      </w:divBdr>
      <w:divsChild>
        <w:div w:id="738745508">
          <w:marLeft w:val="360"/>
          <w:marRight w:val="0"/>
          <w:marTop w:val="120"/>
          <w:marBottom w:val="120"/>
          <w:divBdr>
            <w:top w:val="none" w:sz="0" w:space="0" w:color="auto"/>
            <w:left w:val="none" w:sz="0" w:space="0" w:color="auto"/>
            <w:bottom w:val="none" w:sz="0" w:space="0" w:color="auto"/>
            <w:right w:val="none" w:sz="0" w:space="0" w:color="auto"/>
          </w:divBdr>
        </w:div>
        <w:div w:id="1051734160">
          <w:marLeft w:val="1253"/>
          <w:marRight w:val="0"/>
          <w:marTop w:val="120"/>
          <w:marBottom w:val="120"/>
          <w:divBdr>
            <w:top w:val="none" w:sz="0" w:space="0" w:color="auto"/>
            <w:left w:val="none" w:sz="0" w:space="0" w:color="auto"/>
            <w:bottom w:val="none" w:sz="0" w:space="0" w:color="auto"/>
            <w:right w:val="none" w:sz="0" w:space="0" w:color="auto"/>
          </w:divBdr>
        </w:div>
        <w:div w:id="613558735">
          <w:marLeft w:val="1253"/>
          <w:marRight w:val="0"/>
          <w:marTop w:val="120"/>
          <w:marBottom w:val="120"/>
          <w:divBdr>
            <w:top w:val="none" w:sz="0" w:space="0" w:color="auto"/>
            <w:left w:val="none" w:sz="0" w:space="0" w:color="auto"/>
            <w:bottom w:val="none" w:sz="0" w:space="0" w:color="auto"/>
            <w:right w:val="none" w:sz="0" w:space="0" w:color="auto"/>
          </w:divBdr>
        </w:div>
        <w:div w:id="835261959">
          <w:marLeft w:val="1253"/>
          <w:marRight w:val="0"/>
          <w:marTop w:val="120"/>
          <w:marBottom w:val="120"/>
          <w:divBdr>
            <w:top w:val="none" w:sz="0" w:space="0" w:color="auto"/>
            <w:left w:val="none" w:sz="0" w:space="0" w:color="auto"/>
            <w:bottom w:val="none" w:sz="0" w:space="0" w:color="auto"/>
            <w:right w:val="none" w:sz="0" w:space="0" w:color="auto"/>
          </w:divBdr>
        </w:div>
        <w:div w:id="1863401795">
          <w:marLeft w:val="360"/>
          <w:marRight w:val="0"/>
          <w:marTop w:val="120"/>
          <w:marBottom w:val="120"/>
          <w:divBdr>
            <w:top w:val="none" w:sz="0" w:space="0" w:color="auto"/>
            <w:left w:val="none" w:sz="0" w:space="0" w:color="auto"/>
            <w:bottom w:val="none" w:sz="0" w:space="0" w:color="auto"/>
            <w:right w:val="none" w:sz="0" w:space="0" w:color="auto"/>
          </w:divBdr>
        </w:div>
        <w:div w:id="1753039710">
          <w:marLeft w:val="1253"/>
          <w:marRight w:val="0"/>
          <w:marTop w:val="120"/>
          <w:marBottom w:val="120"/>
          <w:divBdr>
            <w:top w:val="none" w:sz="0" w:space="0" w:color="auto"/>
            <w:left w:val="none" w:sz="0" w:space="0" w:color="auto"/>
            <w:bottom w:val="none" w:sz="0" w:space="0" w:color="auto"/>
            <w:right w:val="none" w:sz="0" w:space="0" w:color="auto"/>
          </w:divBdr>
        </w:div>
        <w:div w:id="1450320367">
          <w:marLeft w:val="1253"/>
          <w:marRight w:val="0"/>
          <w:marTop w:val="120"/>
          <w:marBottom w:val="120"/>
          <w:divBdr>
            <w:top w:val="none" w:sz="0" w:space="0" w:color="auto"/>
            <w:left w:val="none" w:sz="0" w:space="0" w:color="auto"/>
            <w:bottom w:val="none" w:sz="0" w:space="0" w:color="auto"/>
            <w:right w:val="none" w:sz="0" w:space="0" w:color="auto"/>
          </w:divBdr>
        </w:div>
        <w:div w:id="1325817617">
          <w:marLeft w:val="360"/>
          <w:marRight w:val="0"/>
          <w:marTop w:val="120"/>
          <w:marBottom w:val="120"/>
          <w:divBdr>
            <w:top w:val="none" w:sz="0" w:space="0" w:color="auto"/>
            <w:left w:val="none" w:sz="0" w:space="0" w:color="auto"/>
            <w:bottom w:val="none" w:sz="0" w:space="0" w:color="auto"/>
            <w:right w:val="none" w:sz="0" w:space="0" w:color="auto"/>
          </w:divBdr>
        </w:div>
      </w:divsChild>
    </w:div>
    <w:div w:id="1022165139">
      <w:bodyDiv w:val="1"/>
      <w:marLeft w:val="0"/>
      <w:marRight w:val="0"/>
      <w:marTop w:val="0"/>
      <w:marBottom w:val="0"/>
      <w:divBdr>
        <w:top w:val="none" w:sz="0" w:space="0" w:color="auto"/>
        <w:left w:val="none" w:sz="0" w:space="0" w:color="auto"/>
        <w:bottom w:val="none" w:sz="0" w:space="0" w:color="auto"/>
        <w:right w:val="none" w:sz="0" w:space="0" w:color="auto"/>
      </w:divBdr>
      <w:divsChild>
        <w:div w:id="1650205626">
          <w:marLeft w:val="360"/>
          <w:marRight w:val="0"/>
          <w:marTop w:val="120"/>
          <w:marBottom w:val="120"/>
          <w:divBdr>
            <w:top w:val="none" w:sz="0" w:space="0" w:color="auto"/>
            <w:left w:val="none" w:sz="0" w:space="0" w:color="auto"/>
            <w:bottom w:val="none" w:sz="0" w:space="0" w:color="auto"/>
            <w:right w:val="none" w:sz="0" w:space="0" w:color="auto"/>
          </w:divBdr>
        </w:div>
        <w:div w:id="1749646286">
          <w:marLeft w:val="360"/>
          <w:marRight w:val="0"/>
          <w:marTop w:val="120"/>
          <w:marBottom w:val="120"/>
          <w:divBdr>
            <w:top w:val="none" w:sz="0" w:space="0" w:color="auto"/>
            <w:left w:val="none" w:sz="0" w:space="0" w:color="auto"/>
            <w:bottom w:val="none" w:sz="0" w:space="0" w:color="auto"/>
            <w:right w:val="none" w:sz="0" w:space="0" w:color="auto"/>
          </w:divBdr>
        </w:div>
        <w:div w:id="1968311102">
          <w:marLeft w:val="1080"/>
          <w:marRight w:val="0"/>
          <w:marTop w:val="120"/>
          <w:marBottom w:val="120"/>
          <w:divBdr>
            <w:top w:val="none" w:sz="0" w:space="0" w:color="auto"/>
            <w:left w:val="none" w:sz="0" w:space="0" w:color="auto"/>
            <w:bottom w:val="none" w:sz="0" w:space="0" w:color="auto"/>
            <w:right w:val="none" w:sz="0" w:space="0" w:color="auto"/>
          </w:divBdr>
        </w:div>
        <w:div w:id="152575930">
          <w:marLeft w:val="1080"/>
          <w:marRight w:val="0"/>
          <w:marTop w:val="120"/>
          <w:marBottom w:val="120"/>
          <w:divBdr>
            <w:top w:val="none" w:sz="0" w:space="0" w:color="auto"/>
            <w:left w:val="none" w:sz="0" w:space="0" w:color="auto"/>
            <w:bottom w:val="none" w:sz="0" w:space="0" w:color="auto"/>
            <w:right w:val="none" w:sz="0" w:space="0" w:color="auto"/>
          </w:divBdr>
        </w:div>
      </w:divsChild>
    </w:div>
    <w:div w:id="1035039062">
      <w:bodyDiv w:val="1"/>
      <w:marLeft w:val="0"/>
      <w:marRight w:val="0"/>
      <w:marTop w:val="0"/>
      <w:marBottom w:val="0"/>
      <w:divBdr>
        <w:top w:val="none" w:sz="0" w:space="0" w:color="auto"/>
        <w:left w:val="none" w:sz="0" w:space="0" w:color="auto"/>
        <w:bottom w:val="none" w:sz="0" w:space="0" w:color="auto"/>
        <w:right w:val="none" w:sz="0" w:space="0" w:color="auto"/>
      </w:divBdr>
    </w:div>
    <w:div w:id="1039741305">
      <w:bodyDiv w:val="1"/>
      <w:marLeft w:val="0"/>
      <w:marRight w:val="0"/>
      <w:marTop w:val="0"/>
      <w:marBottom w:val="0"/>
      <w:divBdr>
        <w:top w:val="none" w:sz="0" w:space="0" w:color="auto"/>
        <w:left w:val="none" w:sz="0" w:space="0" w:color="auto"/>
        <w:bottom w:val="none" w:sz="0" w:space="0" w:color="auto"/>
        <w:right w:val="none" w:sz="0" w:space="0" w:color="auto"/>
      </w:divBdr>
      <w:divsChild>
        <w:div w:id="571744793">
          <w:marLeft w:val="0"/>
          <w:marRight w:val="0"/>
          <w:marTop w:val="0"/>
          <w:marBottom w:val="0"/>
          <w:divBdr>
            <w:top w:val="none" w:sz="0" w:space="0" w:color="auto"/>
            <w:left w:val="none" w:sz="0" w:space="0" w:color="auto"/>
            <w:bottom w:val="none" w:sz="0" w:space="0" w:color="auto"/>
            <w:right w:val="none" w:sz="0" w:space="0" w:color="auto"/>
          </w:divBdr>
          <w:divsChild>
            <w:div w:id="1093164276">
              <w:marLeft w:val="0"/>
              <w:marRight w:val="0"/>
              <w:marTop w:val="0"/>
              <w:marBottom w:val="0"/>
              <w:divBdr>
                <w:top w:val="none" w:sz="0" w:space="0" w:color="auto"/>
                <w:left w:val="none" w:sz="0" w:space="0" w:color="auto"/>
                <w:bottom w:val="none" w:sz="0" w:space="0" w:color="auto"/>
                <w:right w:val="none" w:sz="0" w:space="0" w:color="auto"/>
              </w:divBdr>
              <w:divsChild>
                <w:div w:id="1762098180">
                  <w:marLeft w:val="0"/>
                  <w:marRight w:val="0"/>
                  <w:marTop w:val="0"/>
                  <w:marBottom w:val="0"/>
                  <w:divBdr>
                    <w:top w:val="none" w:sz="0" w:space="0" w:color="auto"/>
                    <w:left w:val="none" w:sz="0" w:space="0" w:color="auto"/>
                    <w:bottom w:val="none" w:sz="0" w:space="0" w:color="auto"/>
                    <w:right w:val="none" w:sz="0" w:space="0" w:color="auto"/>
                  </w:divBdr>
                  <w:divsChild>
                    <w:div w:id="864712328">
                      <w:marLeft w:val="0"/>
                      <w:marRight w:val="0"/>
                      <w:marTop w:val="0"/>
                      <w:marBottom w:val="0"/>
                      <w:divBdr>
                        <w:top w:val="none" w:sz="0" w:space="0" w:color="auto"/>
                        <w:left w:val="none" w:sz="0" w:space="0" w:color="auto"/>
                        <w:bottom w:val="none" w:sz="0" w:space="0" w:color="auto"/>
                        <w:right w:val="none" w:sz="0" w:space="0" w:color="auto"/>
                      </w:divBdr>
                      <w:divsChild>
                        <w:div w:id="120731053">
                          <w:marLeft w:val="0"/>
                          <w:marRight w:val="0"/>
                          <w:marTop w:val="0"/>
                          <w:marBottom w:val="0"/>
                          <w:divBdr>
                            <w:top w:val="none" w:sz="0" w:space="0" w:color="auto"/>
                            <w:left w:val="none" w:sz="0" w:space="0" w:color="auto"/>
                            <w:bottom w:val="none" w:sz="0" w:space="0" w:color="auto"/>
                            <w:right w:val="none" w:sz="0" w:space="0" w:color="auto"/>
                          </w:divBdr>
                          <w:divsChild>
                            <w:div w:id="512188296">
                              <w:marLeft w:val="0"/>
                              <w:marRight w:val="0"/>
                              <w:marTop w:val="0"/>
                              <w:marBottom w:val="0"/>
                              <w:divBdr>
                                <w:top w:val="none" w:sz="0" w:space="0" w:color="auto"/>
                                <w:left w:val="none" w:sz="0" w:space="0" w:color="auto"/>
                                <w:bottom w:val="none" w:sz="0" w:space="0" w:color="auto"/>
                                <w:right w:val="none" w:sz="0" w:space="0" w:color="auto"/>
                              </w:divBdr>
                              <w:divsChild>
                                <w:div w:id="478806253">
                                  <w:marLeft w:val="0"/>
                                  <w:marRight w:val="0"/>
                                  <w:marTop w:val="0"/>
                                  <w:marBottom w:val="0"/>
                                  <w:divBdr>
                                    <w:top w:val="none" w:sz="0" w:space="0" w:color="auto"/>
                                    <w:left w:val="none" w:sz="0" w:space="0" w:color="auto"/>
                                    <w:bottom w:val="none" w:sz="0" w:space="0" w:color="auto"/>
                                    <w:right w:val="none" w:sz="0" w:space="0" w:color="auto"/>
                                  </w:divBdr>
                                  <w:divsChild>
                                    <w:div w:id="5159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734596">
      <w:bodyDiv w:val="1"/>
      <w:marLeft w:val="0"/>
      <w:marRight w:val="0"/>
      <w:marTop w:val="0"/>
      <w:marBottom w:val="0"/>
      <w:divBdr>
        <w:top w:val="none" w:sz="0" w:space="0" w:color="auto"/>
        <w:left w:val="none" w:sz="0" w:space="0" w:color="auto"/>
        <w:bottom w:val="none" w:sz="0" w:space="0" w:color="auto"/>
        <w:right w:val="none" w:sz="0" w:space="0" w:color="auto"/>
      </w:divBdr>
      <w:divsChild>
        <w:div w:id="322507899">
          <w:marLeft w:val="360"/>
          <w:marRight w:val="0"/>
          <w:marTop w:val="120"/>
          <w:marBottom w:val="120"/>
          <w:divBdr>
            <w:top w:val="none" w:sz="0" w:space="0" w:color="auto"/>
            <w:left w:val="none" w:sz="0" w:space="0" w:color="auto"/>
            <w:bottom w:val="none" w:sz="0" w:space="0" w:color="auto"/>
            <w:right w:val="none" w:sz="0" w:space="0" w:color="auto"/>
          </w:divBdr>
        </w:div>
        <w:div w:id="1594128142">
          <w:marLeft w:val="1080"/>
          <w:marRight w:val="0"/>
          <w:marTop w:val="120"/>
          <w:marBottom w:val="120"/>
          <w:divBdr>
            <w:top w:val="none" w:sz="0" w:space="0" w:color="auto"/>
            <w:left w:val="none" w:sz="0" w:space="0" w:color="auto"/>
            <w:bottom w:val="none" w:sz="0" w:space="0" w:color="auto"/>
            <w:right w:val="none" w:sz="0" w:space="0" w:color="auto"/>
          </w:divBdr>
        </w:div>
        <w:div w:id="971254853">
          <w:marLeft w:val="360"/>
          <w:marRight w:val="0"/>
          <w:marTop w:val="120"/>
          <w:marBottom w:val="120"/>
          <w:divBdr>
            <w:top w:val="none" w:sz="0" w:space="0" w:color="auto"/>
            <w:left w:val="none" w:sz="0" w:space="0" w:color="auto"/>
            <w:bottom w:val="none" w:sz="0" w:space="0" w:color="auto"/>
            <w:right w:val="none" w:sz="0" w:space="0" w:color="auto"/>
          </w:divBdr>
        </w:div>
        <w:div w:id="746877064">
          <w:marLeft w:val="360"/>
          <w:marRight w:val="0"/>
          <w:marTop w:val="120"/>
          <w:marBottom w:val="120"/>
          <w:divBdr>
            <w:top w:val="none" w:sz="0" w:space="0" w:color="auto"/>
            <w:left w:val="none" w:sz="0" w:space="0" w:color="auto"/>
            <w:bottom w:val="none" w:sz="0" w:space="0" w:color="auto"/>
            <w:right w:val="none" w:sz="0" w:space="0" w:color="auto"/>
          </w:divBdr>
        </w:div>
        <w:div w:id="510098809">
          <w:marLeft w:val="1080"/>
          <w:marRight w:val="0"/>
          <w:marTop w:val="120"/>
          <w:marBottom w:val="120"/>
          <w:divBdr>
            <w:top w:val="none" w:sz="0" w:space="0" w:color="auto"/>
            <w:left w:val="none" w:sz="0" w:space="0" w:color="auto"/>
            <w:bottom w:val="none" w:sz="0" w:space="0" w:color="auto"/>
            <w:right w:val="none" w:sz="0" w:space="0" w:color="auto"/>
          </w:divBdr>
        </w:div>
        <w:div w:id="1072658157">
          <w:marLeft w:val="1080"/>
          <w:marRight w:val="0"/>
          <w:marTop w:val="120"/>
          <w:marBottom w:val="120"/>
          <w:divBdr>
            <w:top w:val="none" w:sz="0" w:space="0" w:color="auto"/>
            <w:left w:val="none" w:sz="0" w:space="0" w:color="auto"/>
            <w:bottom w:val="none" w:sz="0" w:space="0" w:color="auto"/>
            <w:right w:val="none" w:sz="0" w:space="0" w:color="auto"/>
          </w:divBdr>
        </w:div>
        <w:div w:id="1709597525">
          <w:marLeft w:val="1080"/>
          <w:marRight w:val="0"/>
          <w:marTop w:val="120"/>
          <w:marBottom w:val="120"/>
          <w:divBdr>
            <w:top w:val="none" w:sz="0" w:space="0" w:color="auto"/>
            <w:left w:val="none" w:sz="0" w:space="0" w:color="auto"/>
            <w:bottom w:val="none" w:sz="0" w:space="0" w:color="auto"/>
            <w:right w:val="none" w:sz="0" w:space="0" w:color="auto"/>
          </w:divBdr>
        </w:div>
        <w:div w:id="2038697350">
          <w:marLeft w:val="1080"/>
          <w:marRight w:val="0"/>
          <w:marTop w:val="120"/>
          <w:marBottom w:val="120"/>
          <w:divBdr>
            <w:top w:val="none" w:sz="0" w:space="0" w:color="auto"/>
            <w:left w:val="none" w:sz="0" w:space="0" w:color="auto"/>
            <w:bottom w:val="none" w:sz="0" w:space="0" w:color="auto"/>
            <w:right w:val="none" w:sz="0" w:space="0" w:color="auto"/>
          </w:divBdr>
        </w:div>
        <w:div w:id="2100442144">
          <w:marLeft w:val="360"/>
          <w:marRight w:val="0"/>
          <w:marTop w:val="120"/>
          <w:marBottom w:val="120"/>
          <w:divBdr>
            <w:top w:val="none" w:sz="0" w:space="0" w:color="auto"/>
            <w:left w:val="none" w:sz="0" w:space="0" w:color="auto"/>
            <w:bottom w:val="none" w:sz="0" w:space="0" w:color="auto"/>
            <w:right w:val="none" w:sz="0" w:space="0" w:color="auto"/>
          </w:divBdr>
        </w:div>
      </w:divsChild>
    </w:div>
    <w:div w:id="1070928611">
      <w:bodyDiv w:val="1"/>
      <w:marLeft w:val="0"/>
      <w:marRight w:val="0"/>
      <w:marTop w:val="0"/>
      <w:marBottom w:val="0"/>
      <w:divBdr>
        <w:top w:val="none" w:sz="0" w:space="0" w:color="auto"/>
        <w:left w:val="none" w:sz="0" w:space="0" w:color="auto"/>
        <w:bottom w:val="none" w:sz="0" w:space="0" w:color="auto"/>
        <w:right w:val="none" w:sz="0" w:space="0" w:color="auto"/>
      </w:divBdr>
    </w:div>
    <w:div w:id="1084498290">
      <w:bodyDiv w:val="1"/>
      <w:marLeft w:val="0"/>
      <w:marRight w:val="0"/>
      <w:marTop w:val="0"/>
      <w:marBottom w:val="0"/>
      <w:divBdr>
        <w:top w:val="none" w:sz="0" w:space="0" w:color="auto"/>
        <w:left w:val="none" w:sz="0" w:space="0" w:color="auto"/>
        <w:bottom w:val="none" w:sz="0" w:space="0" w:color="auto"/>
        <w:right w:val="none" w:sz="0" w:space="0" w:color="auto"/>
      </w:divBdr>
    </w:div>
    <w:div w:id="1088697602">
      <w:bodyDiv w:val="1"/>
      <w:marLeft w:val="0"/>
      <w:marRight w:val="0"/>
      <w:marTop w:val="0"/>
      <w:marBottom w:val="0"/>
      <w:divBdr>
        <w:top w:val="none" w:sz="0" w:space="0" w:color="auto"/>
        <w:left w:val="none" w:sz="0" w:space="0" w:color="auto"/>
        <w:bottom w:val="none" w:sz="0" w:space="0" w:color="auto"/>
        <w:right w:val="none" w:sz="0" w:space="0" w:color="auto"/>
      </w:divBdr>
      <w:divsChild>
        <w:div w:id="441533780">
          <w:marLeft w:val="576"/>
          <w:marRight w:val="0"/>
          <w:marTop w:val="120"/>
          <w:marBottom w:val="120"/>
          <w:divBdr>
            <w:top w:val="none" w:sz="0" w:space="0" w:color="auto"/>
            <w:left w:val="none" w:sz="0" w:space="0" w:color="auto"/>
            <w:bottom w:val="none" w:sz="0" w:space="0" w:color="auto"/>
            <w:right w:val="none" w:sz="0" w:space="0" w:color="auto"/>
          </w:divBdr>
        </w:div>
        <w:div w:id="1805417536">
          <w:marLeft w:val="1080"/>
          <w:marRight w:val="0"/>
          <w:marTop w:val="120"/>
          <w:marBottom w:val="120"/>
          <w:divBdr>
            <w:top w:val="none" w:sz="0" w:space="0" w:color="auto"/>
            <w:left w:val="none" w:sz="0" w:space="0" w:color="auto"/>
            <w:bottom w:val="none" w:sz="0" w:space="0" w:color="auto"/>
            <w:right w:val="none" w:sz="0" w:space="0" w:color="auto"/>
          </w:divBdr>
        </w:div>
        <w:div w:id="764770922">
          <w:marLeft w:val="1080"/>
          <w:marRight w:val="0"/>
          <w:marTop w:val="120"/>
          <w:marBottom w:val="120"/>
          <w:divBdr>
            <w:top w:val="none" w:sz="0" w:space="0" w:color="auto"/>
            <w:left w:val="none" w:sz="0" w:space="0" w:color="auto"/>
            <w:bottom w:val="none" w:sz="0" w:space="0" w:color="auto"/>
            <w:right w:val="none" w:sz="0" w:space="0" w:color="auto"/>
          </w:divBdr>
        </w:div>
        <w:div w:id="1527325443">
          <w:marLeft w:val="1080"/>
          <w:marRight w:val="0"/>
          <w:marTop w:val="120"/>
          <w:marBottom w:val="120"/>
          <w:divBdr>
            <w:top w:val="none" w:sz="0" w:space="0" w:color="auto"/>
            <w:left w:val="none" w:sz="0" w:space="0" w:color="auto"/>
            <w:bottom w:val="none" w:sz="0" w:space="0" w:color="auto"/>
            <w:right w:val="none" w:sz="0" w:space="0" w:color="auto"/>
          </w:divBdr>
        </w:div>
        <w:div w:id="2084714907">
          <w:marLeft w:val="576"/>
          <w:marRight w:val="0"/>
          <w:marTop w:val="120"/>
          <w:marBottom w:val="120"/>
          <w:divBdr>
            <w:top w:val="none" w:sz="0" w:space="0" w:color="auto"/>
            <w:left w:val="none" w:sz="0" w:space="0" w:color="auto"/>
            <w:bottom w:val="none" w:sz="0" w:space="0" w:color="auto"/>
            <w:right w:val="none" w:sz="0" w:space="0" w:color="auto"/>
          </w:divBdr>
        </w:div>
        <w:div w:id="933628910">
          <w:marLeft w:val="1080"/>
          <w:marRight w:val="0"/>
          <w:marTop w:val="120"/>
          <w:marBottom w:val="120"/>
          <w:divBdr>
            <w:top w:val="none" w:sz="0" w:space="0" w:color="auto"/>
            <w:left w:val="none" w:sz="0" w:space="0" w:color="auto"/>
            <w:bottom w:val="none" w:sz="0" w:space="0" w:color="auto"/>
            <w:right w:val="none" w:sz="0" w:space="0" w:color="auto"/>
          </w:divBdr>
        </w:div>
      </w:divsChild>
    </w:div>
    <w:div w:id="1102647035">
      <w:bodyDiv w:val="1"/>
      <w:marLeft w:val="0"/>
      <w:marRight w:val="0"/>
      <w:marTop w:val="0"/>
      <w:marBottom w:val="0"/>
      <w:divBdr>
        <w:top w:val="none" w:sz="0" w:space="0" w:color="auto"/>
        <w:left w:val="none" w:sz="0" w:space="0" w:color="auto"/>
        <w:bottom w:val="none" w:sz="0" w:space="0" w:color="auto"/>
        <w:right w:val="none" w:sz="0" w:space="0" w:color="auto"/>
      </w:divBdr>
    </w:div>
    <w:div w:id="1143695151">
      <w:bodyDiv w:val="1"/>
      <w:marLeft w:val="0"/>
      <w:marRight w:val="0"/>
      <w:marTop w:val="0"/>
      <w:marBottom w:val="0"/>
      <w:divBdr>
        <w:top w:val="none" w:sz="0" w:space="0" w:color="auto"/>
        <w:left w:val="none" w:sz="0" w:space="0" w:color="auto"/>
        <w:bottom w:val="none" w:sz="0" w:space="0" w:color="auto"/>
        <w:right w:val="none" w:sz="0" w:space="0" w:color="auto"/>
      </w:divBdr>
    </w:div>
    <w:div w:id="1144850565">
      <w:bodyDiv w:val="1"/>
      <w:marLeft w:val="0"/>
      <w:marRight w:val="0"/>
      <w:marTop w:val="0"/>
      <w:marBottom w:val="0"/>
      <w:divBdr>
        <w:top w:val="none" w:sz="0" w:space="0" w:color="auto"/>
        <w:left w:val="none" w:sz="0" w:space="0" w:color="auto"/>
        <w:bottom w:val="none" w:sz="0" w:space="0" w:color="auto"/>
        <w:right w:val="none" w:sz="0" w:space="0" w:color="auto"/>
      </w:divBdr>
    </w:div>
    <w:div w:id="1161387829">
      <w:bodyDiv w:val="1"/>
      <w:marLeft w:val="0"/>
      <w:marRight w:val="0"/>
      <w:marTop w:val="0"/>
      <w:marBottom w:val="0"/>
      <w:divBdr>
        <w:top w:val="none" w:sz="0" w:space="0" w:color="auto"/>
        <w:left w:val="none" w:sz="0" w:space="0" w:color="auto"/>
        <w:bottom w:val="none" w:sz="0" w:space="0" w:color="auto"/>
        <w:right w:val="none" w:sz="0" w:space="0" w:color="auto"/>
      </w:divBdr>
    </w:div>
    <w:div w:id="1165777237">
      <w:bodyDiv w:val="1"/>
      <w:marLeft w:val="0"/>
      <w:marRight w:val="0"/>
      <w:marTop w:val="0"/>
      <w:marBottom w:val="0"/>
      <w:divBdr>
        <w:top w:val="none" w:sz="0" w:space="0" w:color="auto"/>
        <w:left w:val="none" w:sz="0" w:space="0" w:color="auto"/>
        <w:bottom w:val="none" w:sz="0" w:space="0" w:color="auto"/>
        <w:right w:val="none" w:sz="0" w:space="0" w:color="auto"/>
      </w:divBdr>
      <w:divsChild>
        <w:div w:id="156843168">
          <w:marLeft w:val="1080"/>
          <w:marRight w:val="0"/>
          <w:marTop w:val="0"/>
          <w:marBottom w:val="0"/>
          <w:divBdr>
            <w:top w:val="none" w:sz="0" w:space="0" w:color="auto"/>
            <w:left w:val="none" w:sz="0" w:space="0" w:color="auto"/>
            <w:bottom w:val="none" w:sz="0" w:space="0" w:color="auto"/>
            <w:right w:val="none" w:sz="0" w:space="0" w:color="auto"/>
          </w:divBdr>
        </w:div>
        <w:div w:id="2067333607">
          <w:marLeft w:val="1080"/>
          <w:marRight w:val="0"/>
          <w:marTop w:val="0"/>
          <w:marBottom w:val="0"/>
          <w:divBdr>
            <w:top w:val="none" w:sz="0" w:space="0" w:color="auto"/>
            <w:left w:val="none" w:sz="0" w:space="0" w:color="auto"/>
            <w:bottom w:val="none" w:sz="0" w:space="0" w:color="auto"/>
            <w:right w:val="none" w:sz="0" w:space="0" w:color="auto"/>
          </w:divBdr>
        </w:div>
        <w:div w:id="144441959">
          <w:marLeft w:val="1080"/>
          <w:marRight w:val="0"/>
          <w:marTop w:val="0"/>
          <w:marBottom w:val="0"/>
          <w:divBdr>
            <w:top w:val="none" w:sz="0" w:space="0" w:color="auto"/>
            <w:left w:val="none" w:sz="0" w:space="0" w:color="auto"/>
            <w:bottom w:val="none" w:sz="0" w:space="0" w:color="auto"/>
            <w:right w:val="none" w:sz="0" w:space="0" w:color="auto"/>
          </w:divBdr>
        </w:div>
        <w:div w:id="968781517">
          <w:marLeft w:val="1080"/>
          <w:marRight w:val="0"/>
          <w:marTop w:val="0"/>
          <w:marBottom w:val="0"/>
          <w:divBdr>
            <w:top w:val="none" w:sz="0" w:space="0" w:color="auto"/>
            <w:left w:val="none" w:sz="0" w:space="0" w:color="auto"/>
            <w:bottom w:val="none" w:sz="0" w:space="0" w:color="auto"/>
            <w:right w:val="none" w:sz="0" w:space="0" w:color="auto"/>
          </w:divBdr>
        </w:div>
      </w:divsChild>
    </w:div>
    <w:div w:id="1168180046">
      <w:bodyDiv w:val="1"/>
      <w:marLeft w:val="0"/>
      <w:marRight w:val="0"/>
      <w:marTop w:val="0"/>
      <w:marBottom w:val="0"/>
      <w:divBdr>
        <w:top w:val="none" w:sz="0" w:space="0" w:color="auto"/>
        <w:left w:val="none" w:sz="0" w:space="0" w:color="auto"/>
        <w:bottom w:val="none" w:sz="0" w:space="0" w:color="auto"/>
        <w:right w:val="none" w:sz="0" w:space="0" w:color="auto"/>
      </w:divBdr>
      <w:divsChild>
        <w:div w:id="1978493277">
          <w:marLeft w:val="1080"/>
          <w:marRight w:val="0"/>
          <w:marTop w:val="120"/>
          <w:marBottom w:val="120"/>
          <w:divBdr>
            <w:top w:val="none" w:sz="0" w:space="0" w:color="auto"/>
            <w:left w:val="none" w:sz="0" w:space="0" w:color="auto"/>
            <w:bottom w:val="none" w:sz="0" w:space="0" w:color="auto"/>
            <w:right w:val="none" w:sz="0" w:space="0" w:color="auto"/>
          </w:divBdr>
        </w:div>
      </w:divsChild>
    </w:div>
    <w:div w:id="1173832999">
      <w:bodyDiv w:val="1"/>
      <w:marLeft w:val="0"/>
      <w:marRight w:val="0"/>
      <w:marTop w:val="0"/>
      <w:marBottom w:val="0"/>
      <w:divBdr>
        <w:top w:val="none" w:sz="0" w:space="0" w:color="auto"/>
        <w:left w:val="none" w:sz="0" w:space="0" w:color="auto"/>
        <w:bottom w:val="none" w:sz="0" w:space="0" w:color="auto"/>
        <w:right w:val="none" w:sz="0" w:space="0" w:color="auto"/>
      </w:divBdr>
    </w:div>
    <w:div w:id="1188132360">
      <w:bodyDiv w:val="1"/>
      <w:marLeft w:val="0"/>
      <w:marRight w:val="0"/>
      <w:marTop w:val="0"/>
      <w:marBottom w:val="0"/>
      <w:divBdr>
        <w:top w:val="none" w:sz="0" w:space="0" w:color="auto"/>
        <w:left w:val="none" w:sz="0" w:space="0" w:color="auto"/>
        <w:bottom w:val="none" w:sz="0" w:space="0" w:color="auto"/>
        <w:right w:val="none" w:sz="0" w:space="0" w:color="auto"/>
      </w:divBdr>
    </w:div>
    <w:div w:id="1212880709">
      <w:bodyDiv w:val="1"/>
      <w:marLeft w:val="0"/>
      <w:marRight w:val="0"/>
      <w:marTop w:val="0"/>
      <w:marBottom w:val="0"/>
      <w:divBdr>
        <w:top w:val="none" w:sz="0" w:space="0" w:color="auto"/>
        <w:left w:val="none" w:sz="0" w:space="0" w:color="auto"/>
        <w:bottom w:val="none" w:sz="0" w:space="0" w:color="auto"/>
        <w:right w:val="none" w:sz="0" w:space="0" w:color="auto"/>
      </w:divBdr>
      <w:divsChild>
        <w:div w:id="2082437822">
          <w:marLeft w:val="360"/>
          <w:marRight w:val="0"/>
          <w:marTop w:val="120"/>
          <w:marBottom w:val="120"/>
          <w:divBdr>
            <w:top w:val="none" w:sz="0" w:space="0" w:color="auto"/>
            <w:left w:val="none" w:sz="0" w:space="0" w:color="auto"/>
            <w:bottom w:val="none" w:sz="0" w:space="0" w:color="auto"/>
            <w:right w:val="none" w:sz="0" w:space="0" w:color="auto"/>
          </w:divBdr>
        </w:div>
        <w:div w:id="1281916087">
          <w:marLeft w:val="360"/>
          <w:marRight w:val="0"/>
          <w:marTop w:val="120"/>
          <w:marBottom w:val="120"/>
          <w:divBdr>
            <w:top w:val="none" w:sz="0" w:space="0" w:color="auto"/>
            <w:left w:val="none" w:sz="0" w:space="0" w:color="auto"/>
            <w:bottom w:val="none" w:sz="0" w:space="0" w:color="auto"/>
            <w:right w:val="none" w:sz="0" w:space="0" w:color="auto"/>
          </w:divBdr>
        </w:div>
        <w:div w:id="1590263255">
          <w:marLeft w:val="360"/>
          <w:marRight w:val="0"/>
          <w:marTop w:val="120"/>
          <w:marBottom w:val="120"/>
          <w:divBdr>
            <w:top w:val="none" w:sz="0" w:space="0" w:color="auto"/>
            <w:left w:val="none" w:sz="0" w:space="0" w:color="auto"/>
            <w:bottom w:val="none" w:sz="0" w:space="0" w:color="auto"/>
            <w:right w:val="none" w:sz="0" w:space="0" w:color="auto"/>
          </w:divBdr>
        </w:div>
        <w:div w:id="300110825">
          <w:marLeft w:val="1253"/>
          <w:marRight w:val="0"/>
          <w:marTop w:val="120"/>
          <w:marBottom w:val="120"/>
          <w:divBdr>
            <w:top w:val="none" w:sz="0" w:space="0" w:color="auto"/>
            <w:left w:val="none" w:sz="0" w:space="0" w:color="auto"/>
            <w:bottom w:val="none" w:sz="0" w:space="0" w:color="auto"/>
            <w:right w:val="none" w:sz="0" w:space="0" w:color="auto"/>
          </w:divBdr>
        </w:div>
        <w:div w:id="1424959123">
          <w:marLeft w:val="360"/>
          <w:marRight w:val="0"/>
          <w:marTop w:val="120"/>
          <w:marBottom w:val="120"/>
          <w:divBdr>
            <w:top w:val="none" w:sz="0" w:space="0" w:color="auto"/>
            <w:left w:val="none" w:sz="0" w:space="0" w:color="auto"/>
            <w:bottom w:val="none" w:sz="0" w:space="0" w:color="auto"/>
            <w:right w:val="none" w:sz="0" w:space="0" w:color="auto"/>
          </w:divBdr>
        </w:div>
        <w:div w:id="1939168207">
          <w:marLeft w:val="360"/>
          <w:marRight w:val="0"/>
          <w:marTop w:val="120"/>
          <w:marBottom w:val="120"/>
          <w:divBdr>
            <w:top w:val="none" w:sz="0" w:space="0" w:color="auto"/>
            <w:left w:val="none" w:sz="0" w:space="0" w:color="auto"/>
            <w:bottom w:val="none" w:sz="0" w:space="0" w:color="auto"/>
            <w:right w:val="none" w:sz="0" w:space="0" w:color="auto"/>
          </w:divBdr>
        </w:div>
      </w:divsChild>
    </w:div>
    <w:div w:id="1265305316">
      <w:bodyDiv w:val="1"/>
      <w:marLeft w:val="0"/>
      <w:marRight w:val="0"/>
      <w:marTop w:val="0"/>
      <w:marBottom w:val="0"/>
      <w:divBdr>
        <w:top w:val="none" w:sz="0" w:space="0" w:color="auto"/>
        <w:left w:val="none" w:sz="0" w:space="0" w:color="auto"/>
        <w:bottom w:val="none" w:sz="0" w:space="0" w:color="auto"/>
        <w:right w:val="none" w:sz="0" w:space="0" w:color="auto"/>
      </w:divBdr>
    </w:div>
    <w:div w:id="1340623949">
      <w:bodyDiv w:val="1"/>
      <w:marLeft w:val="0"/>
      <w:marRight w:val="0"/>
      <w:marTop w:val="0"/>
      <w:marBottom w:val="0"/>
      <w:divBdr>
        <w:top w:val="none" w:sz="0" w:space="0" w:color="auto"/>
        <w:left w:val="none" w:sz="0" w:space="0" w:color="auto"/>
        <w:bottom w:val="none" w:sz="0" w:space="0" w:color="auto"/>
        <w:right w:val="none" w:sz="0" w:space="0" w:color="auto"/>
      </w:divBdr>
      <w:divsChild>
        <w:div w:id="704065391">
          <w:marLeft w:val="360"/>
          <w:marRight w:val="0"/>
          <w:marTop w:val="120"/>
          <w:marBottom w:val="120"/>
          <w:divBdr>
            <w:top w:val="none" w:sz="0" w:space="0" w:color="auto"/>
            <w:left w:val="none" w:sz="0" w:space="0" w:color="auto"/>
            <w:bottom w:val="none" w:sz="0" w:space="0" w:color="auto"/>
            <w:right w:val="none" w:sz="0" w:space="0" w:color="auto"/>
          </w:divBdr>
        </w:div>
      </w:divsChild>
    </w:div>
    <w:div w:id="1341390877">
      <w:bodyDiv w:val="1"/>
      <w:marLeft w:val="0"/>
      <w:marRight w:val="0"/>
      <w:marTop w:val="0"/>
      <w:marBottom w:val="0"/>
      <w:divBdr>
        <w:top w:val="none" w:sz="0" w:space="0" w:color="auto"/>
        <w:left w:val="none" w:sz="0" w:space="0" w:color="auto"/>
        <w:bottom w:val="none" w:sz="0" w:space="0" w:color="auto"/>
        <w:right w:val="none" w:sz="0" w:space="0" w:color="auto"/>
      </w:divBdr>
    </w:div>
    <w:div w:id="1351492079">
      <w:bodyDiv w:val="1"/>
      <w:marLeft w:val="0"/>
      <w:marRight w:val="0"/>
      <w:marTop w:val="0"/>
      <w:marBottom w:val="0"/>
      <w:divBdr>
        <w:top w:val="none" w:sz="0" w:space="0" w:color="auto"/>
        <w:left w:val="none" w:sz="0" w:space="0" w:color="auto"/>
        <w:bottom w:val="none" w:sz="0" w:space="0" w:color="auto"/>
        <w:right w:val="none" w:sz="0" w:space="0" w:color="auto"/>
      </w:divBdr>
      <w:divsChild>
        <w:div w:id="262541129">
          <w:marLeft w:val="360"/>
          <w:marRight w:val="0"/>
          <w:marTop w:val="240"/>
          <w:marBottom w:val="240"/>
          <w:divBdr>
            <w:top w:val="none" w:sz="0" w:space="0" w:color="auto"/>
            <w:left w:val="none" w:sz="0" w:space="0" w:color="auto"/>
            <w:bottom w:val="none" w:sz="0" w:space="0" w:color="auto"/>
            <w:right w:val="none" w:sz="0" w:space="0" w:color="auto"/>
          </w:divBdr>
        </w:div>
        <w:div w:id="1322003084">
          <w:marLeft w:val="360"/>
          <w:marRight w:val="0"/>
          <w:marTop w:val="240"/>
          <w:marBottom w:val="240"/>
          <w:divBdr>
            <w:top w:val="none" w:sz="0" w:space="0" w:color="auto"/>
            <w:left w:val="none" w:sz="0" w:space="0" w:color="auto"/>
            <w:bottom w:val="none" w:sz="0" w:space="0" w:color="auto"/>
            <w:right w:val="none" w:sz="0" w:space="0" w:color="auto"/>
          </w:divBdr>
        </w:div>
      </w:divsChild>
    </w:div>
    <w:div w:id="1364819724">
      <w:bodyDiv w:val="1"/>
      <w:marLeft w:val="0"/>
      <w:marRight w:val="0"/>
      <w:marTop w:val="0"/>
      <w:marBottom w:val="0"/>
      <w:divBdr>
        <w:top w:val="none" w:sz="0" w:space="0" w:color="auto"/>
        <w:left w:val="none" w:sz="0" w:space="0" w:color="auto"/>
        <w:bottom w:val="none" w:sz="0" w:space="0" w:color="auto"/>
        <w:right w:val="none" w:sz="0" w:space="0" w:color="auto"/>
      </w:divBdr>
      <w:divsChild>
        <w:div w:id="1799447050">
          <w:marLeft w:val="360"/>
          <w:marRight w:val="0"/>
          <w:marTop w:val="120"/>
          <w:marBottom w:val="120"/>
          <w:divBdr>
            <w:top w:val="none" w:sz="0" w:space="0" w:color="auto"/>
            <w:left w:val="none" w:sz="0" w:space="0" w:color="auto"/>
            <w:bottom w:val="none" w:sz="0" w:space="0" w:color="auto"/>
            <w:right w:val="none" w:sz="0" w:space="0" w:color="auto"/>
          </w:divBdr>
        </w:div>
      </w:divsChild>
    </w:div>
    <w:div w:id="1383483413">
      <w:bodyDiv w:val="1"/>
      <w:marLeft w:val="0"/>
      <w:marRight w:val="0"/>
      <w:marTop w:val="0"/>
      <w:marBottom w:val="0"/>
      <w:divBdr>
        <w:top w:val="none" w:sz="0" w:space="0" w:color="auto"/>
        <w:left w:val="none" w:sz="0" w:space="0" w:color="auto"/>
        <w:bottom w:val="none" w:sz="0" w:space="0" w:color="auto"/>
        <w:right w:val="none" w:sz="0" w:space="0" w:color="auto"/>
      </w:divBdr>
    </w:div>
    <w:div w:id="1388457728">
      <w:bodyDiv w:val="1"/>
      <w:marLeft w:val="0"/>
      <w:marRight w:val="0"/>
      <w:marTop w:val="0"/>
      <w:marBottom w:val="0"/>
      <w:divBdr>
        <w:top w:val="none" w:sz="0" w:space="0" w:color="auto"/>
        <w:left w:val="none" w:sz="0" w:space="0" w:color="auto"/>
        <w:bottom w:val="none" w:sz="0" w:space="0" w:color="auto"/>
        <w:right w:val="none" w:sz="0" w:space="0" w:color="auto"/>
      </w:divBdr>
    </w:div>
    <w:div w:id="1389264508">
      <w:bodyDiv w:val="1"/>
      <w:marLeft w:val="0"/>
      <w:marRight w:val="0"/>
      <w:marTop w:val="0"/>
      <w:marBottom w:val="0"/>
      <w:divBdr>
        <w:top w:val="none" w:sz="0" w:space="0" w:color="auto"/>
        <w:left w:val="none" w:sz="0" w:space="0" w:color="auto"/>
        <w:bottom w:val="none" w:sz="0" w:space="0" w:color="auto"/>
        <w:right w:val="none" w:sz="0" w:space="0" w:color="auto"/>
      </w:divBdr>
      <w:divsChild>
        <w:div w:id="771048008">
          <w:marLeft w:val="0"/>
          <w:marRight w:val="0"/>
          <w:marTop w:val="0"/>
          <w:marBottom w:val="0"/>
          <w:divBdr>
            <w:top w:val="none" w:sz="0" w:space="0" w:color="auto"/>
            <w:left w:val="none" w:sz="0" w:space="0" w:color="auto"/>
            <w:bottom w:val="none" w:sz="0" w:space="0" w:color="auto"/>
            <w:right w:val="none" w:sz="0" w:space="0" w:color="auto"/>
          </w:divBdr>
          <w:divsChild>
            <w:div w:id="451481405">
              <w:marLeft w:val="0"/>
              <w:marRight w:val="0"/>
              <w:marTop w:val="0"/>
              <w:marBottom w:val="0"/>
              <w:divBdr>
                <w:top w:val="none" w:sz="0" w:space="0" w:color="auto"/>
                <w:left w:val="none" w:sz="0" w:space="0" w:color="auto"/>
                <w:bottom w:val="none" w:sz="0" w:space="0" w:color="auto"/>
                <w:right w:val="none" w:sz="0" w:space="0" w:color="auto"/>
              </w:divBdr>
              <w:divsChild>
                <w:div w:id="1476683107">
                  <w:marLeft w:val="-225"/>
                  <w:marRight w:val="-225"/>
                  <w:marTop w:val="0"/>
                  <w:marBottom w:val="0"/>
                  <w:divBdr>
                    <w:top w:val="none" w:sz="0" w:space="0" w:color="auto"/>
                    <w:left w:val="none" w:sz="0" w:space="0" w:color="auto"/>
                    <w:bottom w:val="none" w:sz="0" w:space="0" w:color="auto"/>
                    <w:right w:val="none" w:sz="0" w:space="0" w:color="auto"/>
                  </w:divBdr>
                  <w:divsChild>
                    <w:div w:id="581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42752">
      <w:bodyDiv w:val="1"/>
      <w:marLeft w:val="0"/>
      <w:marRight w:val="0"/>
      <w:marTop w:val="0"/>
      <w:marBottom w:val="0"/>
      <w:divBdr>
        <w:top w:val="none" w:sz="0" w:space="0" w:color="auto"/>
        <w:left w:val="none" w:sz="0" w:space="0" w:color="auto"/>
        <w:bottom w:val="none" w:sz="0" w:space="0" w:color="auto"/>
        <w:right w:val="none" w:sz="0" w:space="0" w:color="auto"/>
      </w:divBdr>
      <w:divsChild>
        <w:div w:id="1462111378">
          <w:marLeft w:val="360"/>
          <w:marRight w:val="0"/>
          <w:marTop w:val="120"/>
          <w:marBottom w:val="120"/>
          <w:divBdr>
            <w:top w:val="none" w:sz="0" w:space="0" w:color="auto"/>
            <w:left w:val="none" w:sz="0" w:space="0" w:color="auto"/>
            <w:bottom w:val="none" w:sz="0" w:space="0" w:color="auto"/>
            <w:right w:val="none" w:sz="0" w:space="0" w:color="auto"/>
          </w:divBdr>
        </w:div>
        <w:div w:id="652224041">
          <w:marLeft w:val="360"/>
          <w:marRight w:val="0"/>
          <w:marTop w:val="120"/>
          <w:marBottom w:val="120"/>
          <w:divBdr>
            <w:top w:val="none" w:sz="0" w:space="0" w:color="auto"/>
            <w:left w:val="none" w:sz="0" w:space="0" w:color="auto"/>
            <w:bottom w:val="none" w:sz="0" w:space="0" w:color="auto"/>
            <w:right w:val="none" w:sz="0" w:space="0" w:color="auto"/>
          </w:divBdr>
        </w:div>
        <w:div w:id="1783839331">
          <w:marLeft w:val="360"/>
          <w:marRight w:val="0"/>
          <w:marTop w:val="120"/>
          <w:marBottom w:val="120"/>
          <w:divBdr>
            <w:top w:val="none" w:sz="0" w:space="0" w:color="auto"/>
            <w:left w:val="none" w:sz="0" w:space="0" w:color="auto"/>
            <w:bottom w:val="none" w:sz="0" w:space="0" w:color="auto"/>
            <w:right w:val="none" w:sz="0" w:space="0" w:color="auto"/>
          </w:divBdr>
        </w:div>
        <w:div w:id="64619085">
          <w:marLeft w:val="360"/>
          <w:marRight w:val="0"/>
          <w:marTop w:val="120"/>
          <w:marBottom w:val="120"/>
          <w:divBdr>
            <w:top w:val="none" w:sz="0" w:space="0" w:color="auto"/>
            <w:left w:val="none" w:sz="0" w:space="0" w:color="auto"/>
            <w:bottom w:val="none" w:sz="0" w:space="0" w:color="auto"/>
            <w:right w:val="none" w:sz="0" w:space="0" w:color="auto"/>
          </w:divBdr>
        </w:div>
      </w:divsChild>
    </w:div>
    <w:div w:id="1457993048">
      <w:bodyDiv w:val="1"/>
      <w:marLeft w:val="0"/>
      <w:marRight w:val="0"/>
      <w:marTop w:val="0"/>
      <w:marBottom w:val="0"/>
      <w:divBdr>
        <w:top w:val="none" w:sz="0" w:space="0" w:color="auto"/>
        <w:left w:val="none" w:sz="0" w:space="0" w:color="auto"/>
        <w:bottom w:val="none" w:sz="0" w:space="0" w:color="auto"/>
        <w:right w:val="none" w:sz="0" w:space="0" w:color="auto"/>
      </w:divBdr>
      <w:divsChild>
        <w:div w:id="548568113">
          <w:marLeft w:val="360"/>
          <w:marRight w:val="0"/>
          <w:marTop w:val="120"/>
          <w:marBottom w:val="120"/>
          <w:divBdr>
            <w:top w:val="none" w:sz="0" w:space="0" w:color="auto"/>
            <w:left w:val="none" w:sz="0" w:space="0" w:color="auto"/>
            <w:bottom w:val="none" w:sz="0" w:space="0" w:color="auto"/>
            <w:right w:val="none" w:sz="0" w:space="0" w:color="auto"/>
          </w:divBdr>
        </w:div>
        <w:div w:id="807746571">
          <w:marLeft w:val="1080"/>
          <w:marRight w:val="0"/>
          <w:marTop w:val="120"/>
          <w:marBottom w:val="120"/>
          <w:divBdr>
            <w:top w:val="none" w:sz="0" w:space="0" w:color="auto"/>
            <w:left w:val="none" w:sz="0" w:space="0" w:color="auto"/>
            <w:bottom w:val="none" w:sz="0" w:space="0" w:color="auto"/>
            <w:right w:val="none" w:sz="0" w:space="0" w:color="auto"/>
          </w:divBdr>
        </w:div>
        <w:div w:id="1536653701">
          <w:marLeft w:val="1080"/>
          <w:marRight w:val="0"/>
          <w:marTop w:val="120"/>
          <w:marBottom w:val="120"/>
          <w:divBdr>
            <w:top w:val="none" w:sz="0" w:space="0" w:color="auto"/>
            <w:left w:val="none" w:sz="0" w:space="0" w:color="auto"/>
            <w:bottom w:val="none" w:sz="0" w:space="0" w:color="auto"/>
            <w:right w:val="none" w:sz="0" w:space="0" w:color="auto"/>
          </w:divBdr>
        </w:div>
        <w:div w:id="1819416660">
          <w:marLeft w:val="360"/>
          <w:marRight w:val="0"/>
          <w:marTop w:val="120"/>
          <w:marBottom w:val="120"/>
          <w:divBdr>
            <w:top w:val="none" w:sz="0" w:space="0" w:color="auto"/>
            <w:left w:val="none" w:sz="0" w:space="0" w:color="auto"/>
            <w:bottom w:val="none" w:sz="0" w:space="0" w:color="auto"/>
            <w:right w:val="none" w:sz="0" w:space="0" w:color="auto"/>
          </w:divBdr>
        </w:div>
        <w:div w:id="2022319713">
          <w:marLeft w:val="360"/>
          <w:marRight w:val="0"/>
          <w:marTop w:val="120"/>
          <w:marBottom w:val="120"/>
          <w:divBdr>
            <w:top w:val="none" w:sz="0" w:space="0" w:color="auto"/>
            <w:left w:val="none" w:sz="0" w:space="0" w:color="auto"/>
            <w:bottom w:val="none" w:sz="0" w:space="0" w:color="auto"/>
            <w:right w:val="none" w:sz="0" w:space="0" w:color="auto"/>
          </w:divBdr>
        </w:div>
        <w:div w:id="2061515550">
          <w:marLeft w:val="360"/>
          <w:marRight w:val="0"/>
          <w:marTop w:val="120"/>
          <w:marBottom w:val="120"/>
          <w:divBdr>
            <w:top w:val="none" w:sz="0" w:space="0" w:color="auto"/>
            <w:left w:val="none" w:sz="0" w:space="0" w:color="auto"/>
            <w:bottom w:val="none" w:sz="0" w:space="0" w:color="auto"/>
            <w:right w:val="none" w:sz="0" w:space="0" w:color="auto"/>
          </w:divBdr>
        </w:div>
      </w:divsChild>
    </w:div>
    <w:div w:id="1462268142">
      <w:bodyDiv w:val="1"/>
      <w:marLeft w:val="0"/>
      <w:marRight w:val="0"/>
      <w:marTop w:val="0"/>
      <w:marBottom w:val="0"/>
      <w:divBdr>
        <w:top w:val="none" w:sz="0" w:space="0" w:color="auto"/>
        <w:left w:val="none" w:sz="0" w:space="0" w:color="auto"/>
        <w:bottom w:val="none" w:sz="0" w:space="0" w:color="auto"/>
        <w:right w:val="none" w:sz="0" w:space="0" w:color="auto"/>
      </w:divBdr>
    </w:div>
    <w:div w:id="1471557015">
      <w:bodyDiv w:val="1"/>
      <w:marLeft w:val="0"/>
      <w:marRight w:val="0"/>
      <w:marTop w:val="0"/>
      <w:marBottom w:val="0"/>
      <w:divBdr>
        <w:top w:val="none" w:sz="0" w:space="0" w:color="auto"/>
        <w:left w:val="none" w:sz="0" w:space="0" w:color="auto"/>
        <w:bottom w:val="none" w:sz="0" w:space="0" w:color="auto"/>
        <w:right w:val="none" w:sz="0" w:space="0" w:color="auto"/>
      </w:divBdr>
      <w:divsChild>
        <w:div w:id="733895235">
          <w:marLeft w:val="0"/>
          <w:marRight w:val="0"/>
          <w:marTop w:val="0"/>
          <w:marBottom w:val="0"/>
          <w:divBdr>
            <w:top w:val="none" w:sz="0" w:space="0" w:color="auto"/>
            <w:left w:val="none" w:sz="0" w:space="0" w:color="auto"/>
            <w:bottom w:val="none" w:sz="0" w:space="0" w:color="auto"/>
            <w:right w:val="none" w:sz="0" w:space="0" w:color="auto"/>
          </w:divBdr>
          <w:divsChild>
            <w:div w:id="326978019">
              <w:marLeft w:val="0"/>
              <w:marRight w:val="0"/>
              <w:marTop w:val="0"/>
              <w:marBottom w:val="0"/>
              <w:divBdr>
                <w:top w:val="none" w:sz="0" w:space="0" w:color="auto"/>
                <w:left w:val="none" w:sz="0" w:space="0" w:color="auto"/>
                <w:bottom w:val="none" w:sz="0" w:space="0" w:color="auto"/>
                <w:right w:val="none" w:sz="0" w:space="0" w:color="auto"/>
              </w:divBdr>
              <w:divsChild>
                <w:div w:id="1260069517">
                  <w:marLeft w:val="-225"/>
                  <w:marRight w:val="-225"/>
                  <w:marTop w:val="0"/>
                  <w:marBottom w:val="0"/>
                  <w:divBdr>
                    <w:top w:val="none" w:sz="0" w:space="0" w:color="auto"/>
                    <w:left w:val="none" w:sz="0" w:space="0" w:color="auto"/>
                    <w:bottom w:val="none" w:sz="0" w:space="0" w:color="auto"/>
                    <w:right w:val="none" w:sz="0" w:space="0" w:color="auto"/>
                  </w:divBdr>
                  <w:divsChild>
                    <w:div w:id="1081294898">
                      <w:marLeft w:val="0"/>
                      <w:marRight w:val="0"/>
                      <w:marTop w:val="0"/>
                      <w:marBottom w:val="0"/>
                      <w:divBdr>
                        <w:top w:val="none" w:sz="0" w:space="0" w:color="auto"/>
                        <w:left w:val="none" w:sz="0" w:space="0" w:color="auto"/>
                        <w:bottom w:val="none" w:sz="0" w:space="0" w:color="auto"/>
                        <w:right w:val="none" w:sz="0" w:space="0" w:color="auto"/>
                      </w:divBdr>
                      <w:divsChild>
                        <w:div w:id="964504674">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746416">
      <w:bodyDiv w:val="1"/>
      <w:marLeft w:val="0"/>
      <w:marRight w:val="0"/>
      <w:marTop w:val="0"/>
      <w:marBottom w:val="0"/>
      <w:divBdr>
        <w:top w:val="none" w:sz="0" w:space="0" w:color="auto"/>
        <w:left w:val="none" w:sz="0" w:space="0" w:color="auto"/>
        <w:bottom w:val="none" w:sz="0" w:space="0" w:color="auto"/>
        <w:right w:val="none" w:sz="0" w:space="0" w:color="auto"/>
      </w:divBdr>
    </w:div>
    <w:div w:id="1473526343">
      <w:bodyDiv w:val="1"/>
      <w:marLeft w:val="0"/>
      <w:marRight w:val="0"/>
      <w:marTop w:val="0"/>
      <w:marBottom w:val="0"/>
      <w:divBdr>
        <w:top w:val="none" w:sz="0" w:space="0" w:color="auto"/>
        <w:left w:val="none" w:sz="0" w:space="0" w:color="auto"/>
        <w:bottom w:val="none" w:sz="0" w:space="0" w:color="auto"/>
        <w:right w:val="none" w:sz="0" w:space="0" w:color="auto"/>
      </w:divBdr>
      <w:divsChild>
        <w:div w:id="601036208">
          <w:marLeft w:val="547"/>
          <w:marRight w:val="0"/>
          <w:marTop w:val="0"/>
          <w:marBottom w:val="0"/>
          <w:divBdr>
            <w:top w:val="none" w:sz="0" w:space="0" w:color="auto"/>
            <w:left w:val="none" w:sz="0" w:space="0" w:color="auto"/>
            <w:bottom w:val="none" w:sz="0" w:space="0" w:color="auto"/>
            <w:right w:val="none" w:sz="0" w:space="0" w:color="auto"/>
          </w:divBdr>
        </w:div>
        <w:div w:id="1903246723">
          <w:marLeft w:val="547"/>
          <w:marRight w:val="0"/>
          <w:marTop w:val="0"/>
          <w:marBottom w:val="0"/>
          <w:divBdr>
            <w:top w:val="none" w:sz="0" w:space="0" w:color="auto"/>
            <w:left w:val="none" w:sz="0" w:space="0" w:color="auto"/>
            <w:bottom w:val="none" w:sz="0" w:space="0" w:color="auto"/>
            <w:right w:val="none" w:sz="0" w:space="0" w:color="auto"/>
          </w:divBdr>
        </w:div>
      </w:divsChild>
    </w:div>
    <w:div w:id="1518302337">
      <w:bodyDiv w:val="1"/>
      <w:marLeft w:val="0"/>
      <w:marRight w:val="0"/>
      <w:marTop w:val="0"/>
      <w:marBottom w:val="0"/>
      <w:divBdr>
        <w:top w:val="none" w:sz="0" w:space="0" w:color="auto"/>
        <w:left w:val="none" w:sz="0" w:space="0" w:color="auto"/>
        <w:bottom w:val="none" w:sz="0" w:space="0" w:color="auto"/>
        <w:right w:val="none" w:sz="0" w:space="0" w:color="auto"/>
      </w:divBdr>
      <w:divsChild>
        <w:div w:id="1919706229">
          <w:marLeft w:val="0"/>
          <w:marRight w:val="0"/>
          <w:marTop w:val="0"/>
          <w:marBottom w:val="0"/>
          <w:divBdr>
            <w:top w:val="none" w:sz="0" w:space="0" w:color="auto"/>
            <w:left w:val="none" w:sz="0" w:space="0" w:color="auto"/>
            <w:bottom w:val="none" w:sz="0" w:space="0" w:color="auto"/>
            <w:right w:val="none" w:sz="0" w:space="0" w:color="auto"/>
          </w:divBdr>
          <w:divsChild>
            <w:div w:id="405303884">
              <w:marLeft w:val="0"/>
              <w:marRight w:val="0"/>
              <w:marTop w:val="0"/>
              <w:marBottom w:val="0"/>
              <w:divBdr>
                <w:top w:val="none" w:sz="0" w:space="0" w:color="auto"/>
                <w:left w:val="none" w:sz="0" w:space="0" w:color="auto"/>
                <w:bottom w:val="none" w:sz="0" w:space="0" w:color="auto"/>
                <w:right w:val="none" w:sz="0" w:space="0" w:color="auto"/>
              </w:divBdr>
            </w:div>
            <w:div w:id="1892570728">
              <w:marLeft w:val="0"/>
              <w:marRight w:val="0"/>
              <w:marTop w:val="0"/>
              <w:marBottom w:val="0"/>
              <w:divBdr>
                <w:top w:val="none" w:sz="0" w:space="0" w:color="auto"/>
                <w:left w:val="none" w:sz="0" w:space="0" w:color="auto"/>
                <w:bottom w:val="none" w:sz="0" w:space="0" w:color="auto"/>
                <w:right w:val="none" w:sz="0" w:space="0" w:color="auto"/>
              </w:divBdr>
            </w:div>
            <w:div w:id="1962370564">
              <w:marLeft w:val="0"/>
              <w:marRight w:val="0"/>
              <w:marTop w:val="0"/>
              <w:marBottom w:val="0"/>
              <w:divBdr>
                <w:top w:val="none" w:sz="0" w:space="0" w:color="auto"/>
                <w:left w:val="none" w:sz="0" w:space="0" w:color="auto"/>
                <w:bottom w:val="none" w:sz="0" w:space="0" w:color="auto"/>
                <w:right w:val="none" w:sz="0" w:space="0" w:color="auto"/>
              </w:divBdr>
            </w:div>
            <w:div w:id="1828858523">
              <w:marLeft w:val="0"/>
              <w:marRight w:val="0"/>
              <w:marTop w:val="0"/>
              <w:marBottom w:val="0"/>
              <w:divBdr>
                <w:top w:val="none" w:sz="0" w:space="0" w:color="auto"/>
                <w:left w:val="none" w:sz="0" w:space="0" w:color="auto"/>
                <w:bottom w:val="none" w:sz="0" w:space="0" w:color="auto"/>
                <w:right w:val="none" w:sz="0" w:space="0" w:color="auto"/>
              </w:divBdr>
            </w:div>
            <w:div w:id="281310099">
              <w:marLeft w:val="0"/>
              <w:marRight w:val="0"/>
              <w:marTop w:val="0"/>
              <w:marBottom w:val="0"/>
              <w:divBdr>
                <w:top w:val="none" w:sz="0" w:space="0" w:color="auto"/>
                <w:left w:val="none" w:sz="0" w:space="0" w:color="auto"/>
                <w:bottom w:val="none" w:sz="0" w:space="0" w:color="auto"/>
                <w:right w:val="none" w:sz="0" w:space="0" w:color="auto"/>
              </w:divBdr>
            </w:div>
          </w:divsChild>
        </w:div>
        <w:div w:id="270087884">
          <w:marLeft w:val="0"/>
          <w:marRight w:val="0"/>
          <w:marTop w:val="0"/>
          <w:marBottom w:val="0"/>
          <w:divBdr>
            <w:top w:val="none" w:sz="0" w:space="0" w:color="auto"/>
            <w:left w:val="none" w:sz="0" w:space="0" w:color="auto"/>
            <w:bottom w:val="none" w:sz="0" w:space="0" w:color="auto"/>
            <w:right w:val="none" w:sz="0" w:space="0" w:color="auto"/>
          </w:divBdr>
          <w:divsChild>
            <w:div w:id="1359744145">
              <w:marLeft w:val="0"/>
              <w:marRight w:val="0"/>
              <w:marTop w:val="0"/>
              <w:marBottom w:val="0"/>
              <w:divBdr>
                <w:top w:val="none" w:sz="0" w:space="0" w:color="auto"/>
                <w:left w:val="none" w:sz="0" w:space="0" w:color="auto"/>
                <w:bottom w:val="none" w:sz="0" w:space="0" w:color="auto"/>
                <w:right w:val="none" w:sz="0" w:space="0" w:color="auto"/>
              </w:divBdr>
            </w:div>
            <w:div w:id="782649367">
              <w:marLeft w:val="0"/>
              <w:marRight w:val="0"/>
              <w:marTop w:val="0"/>
              <w:marBottom w:val="0"/>
              <w:divBdr>
                <w:top w:val="none" w:sz="0" w:space="0" w:color="auto"/>
                <w:left w:val="none" w:sz="0" w:space="0" w:color="auto"/>
                <w:bottom w:val="none" w:sz="0" w:space="0" w:color="auto"/>
                <w:right w:val="none" w:sz="0" w:space="0" w:color="auto"/>
              </w:divBdr>
            </w:div>
            <w:div w:id="12154466">
              <w:marLeft w:val="0"/>
              <w:marRight w:val="0"/>
              <w:marTop w:val="0"/>
              <w:marBottom w:val="0"/>
              <w:divBdr>
                <w:top w:val="none" w:sz="0" w:space="0" w:color="auto"/>
                <w:left w:val="none" w:sz="0" w:space="0" w:color="auto"/>
                <w:bottom w:val="none" w:sz="0" w:space="0" w:color="auto"/>
                <w:right w:val="none" w:sz="0" w:space="0" w:color="auto"/>
              </w:divBdr>
            </w:div>
            <w:div w:id="1161234447">
              <w:marLeft w:val="0"/>
              <w:marRight w:val="0"/>
              <w:marTop w:val="0"/>
              <w:marBottom w:val="0"/>
              <w:divBdr>
                <w:top w:val="none" w:sz="0" w:space="0" w:color="auto"/>
                <w:left w:val="none" w:sz="0" w:space="0" w:color="auto"/>
                <w:bottom w:val="none" w:sz="0" w:space="0" w:color="auto"/>
                <w:right w:val="none" w:sz="0" w:space="0" w:color="auto"/>
              </w:divBdr>
            </w:div>
            <w:div w:id="1915318624">
              <w:marLeft w:val="0"/>
              <w:marRight w:val="0"/>
              <w:marTop w:val="0"/>
              <w:marBottom w:val="0"/>
              <w:divBdr>
                <w:top w:val="none" w:sz="0" w:space="0" w:color="auto"/>
                <w:left w:val="none" w:sz="0" w:space="0" w:color="auto"/>
                <w:bottom w:val="none" w:sz="0" w:space="0" w:color="auto"/>
                <w:right w:val="none" w:sz="0" w:space="0" w:color="auto"/>
              </w:divBdr>
            </w:div>
          </w:divsChild>
        </w:div>
        <w:div w:id="673993710">
          <w:marLeft w:val="0"/>
          <w:marRight w:val="0"/>
          <w:marTop w:val="0"/>
          <w:marBottom w:val="0"/>
          <w:divBdr>
            <w:top w:val="none" w:sz="0" w:space="0" w:color="auto"/>
            <w:left w:val="none" w:sz="0" w:space="0" w:color="auto"/>
            <w:bottom w:val="none" w:sz="0" w:space="0" w:color="auto"/>
            <w:right w:val="none" w:sz="0" w:space="0" w:color="auto"/>
          </w:divBdr>
          <w:divsChild>
            <w:div w:id="1148741355">
              <w:marLeft w:val="0"/>
              <w:marRight w:val="0"/>
              <w:marTop w:val="0"/>
              <w:marBottom w:val="0"/>
              <w:divBdr>
                <w:top w:val="none" w:sz="0" w:space="0" w:color="auto"/>
                <w:left w:val="none" w:sz="0" w:space="0" w:color="auto"/>
                <w:bottom w:val="none" w:sz="0" w:space="0" w:color="auto"/>
                <w:right w:val="none" w:sz="0" w:space="0" w:color="auto"/>
              </w:divBdr>
            </w:div>
            <w:div w:id="964505018">
              <w:marLeft w:val="0"/>
              <w:marRight w:val="0"/>
              <w:marTop w:val="0"/>
              <w:marBottom w:val="0"/>
              <w:divBdr>
                <w:top w:val="none" w:sz="0" w:space="0" w:color="auto"/>
                <w:left w:val="none" w:sz="0" w:space="0" w:color="auto"/>
                <w:bottom w:val="none" w:sz="0" w:space="0" w:color="auto"/>
                <w:right w:val="none" w:sz="0" w:space="0" w:color="auto"/>
              </w:divBdr>
            </w:div>
            <w:div w:id="1019427620">
              <w:marLeft w:val="0"/>
              <w:marRight w:val="0"/>
              <w:marTop w:val="0"/>
              <w:marBottom w:val="0"/>
              <w:divBdr>
                <w:top w:val="none" w:sz="0" w:space="0" w:color="auto"/>
                <w:left w:val="none" w:sz="0" w:space="0" w:color="auto"/>
                <w:bottom w:val="none" w:sz="0" w:space="0" w:color="auto"/>
                <w:right w:val="none" w:sz="0" w:space="0" w:color="auto"/>
              </w:divBdr>
            </w:div>
            <w:div w:id="2134052247">
              <w:marLeft w:val="0"/>
              <w:marRight w:val="0"/>
              <w:marTop w:val="0"/>
              <w:marBottom w:val="0"/>
              <w:divBdr>
                <w:top w:val="none" w:sz="0" w:space="0" w:color="auto"/>
                <w:left w:val="none" w:sz="0" w:space="0" w:color="auto"/>
                <w:bottom w:val="none" w:sz="0" w:space="0" w:color="auto"/>
                <w:right w:val="none" w:sz="0" w:space="0" w:color="auto"/>
              </w:divBdr>
            </w:div>
            <w:div w:id="1645043082">
              <w:marLeft w:val="0"/>
              <w:marRight w:val="0"/>
              <w:marTop w:val="0"/>
              <w:marBottom w:val="0"/>
              <w:divBdr>
                <w:top w:val="none" w:sz="0" w:space="0" w:color="auto"/>
                <w:left w:val="none" w:sz="0" w:space="0" w:color="auto"/>
                <w:bottom w:val="none" w:sz="0" w:space="0" w:color="auto"/>
                <w:right w:val="none" w:sz="0" w:space="0" w:color="auto"/>
              </w:divBdr>
            </w:div>
          </w:divsChild>
        </w:div>
        <w:div w:id="68962121">
          <w:marLeft w:val="0"/>
          <w:marRight w:val="0"/>
          <w:marTop w:val="0"/>
          <w:marBottom w:val="0"/>
          <w:divBdr>
            <w:top w:val="none" w:sz="0" w:space="0" w:color="auto"/>
            <w:left w:val="none" w:sz="0" w:space="0" w:color="auto"/>
            <w:bottom w:val="none" w:sz="0" w:space="0" w:color="auto"/>
            <w:right w:val="none" w:sz="0" w:space="0" w:color="auto"/>
          </w:divBdr>
        </w:div>
      </w:divsChild>
    </w:div>
    <w:div w:id="1586308046">
      <w:bodyDiv w:val="1"/>
      <w:marLeft w:val="0"/>
      <w:marRight w:val="0"/>
      <w:marTop w:val="0"/>
      <w:marBottom w:val="0"/>
      <w:divBdr>
        <w:top w:val="none" w:sz="0" w:space="0" w:color="auto"/>
        <w:left w:val="none" w:sz="0" w:space="0" w:color="auto"/>
        <w:bottom w:val="none" w:sz="0" w:space="0" w:color="auto"/>
        <w:right w:val="none" w:sz="0" w:space="0" w:color="auto"/>
      </w:divBdr>
    </w:div>
    <w:div w:id="1601639671">
      <w:bodyDiv w:val="1"/>
      <w:marLeft w:val="0"/>
      <w:marRight w:val="0"/>
      <w:marTop w:val="0"/>
      <w:marBottom w:val="0"/>
      <w:divBdr>
        <w:top w:val="none" w:sz="0" w:space="0" w:color="auto"/>
        <w:left w:val="none" w:sz="0" w:space="0" w:color="auto"/>
        <w:bottom w:val="none" w:sz="0" w:space="0" w:color="auto"/>
        <w:right w:val="none" w:sz="0" w:space="0" w:color="auto"/>
      </w:divBdr>
    </w:div>
    <w:div w:id="1604460207">
      <w:bodyDiv w:val="1"/>
      <w:marLeft w:val="0"/>
      <w:marRight w:val="0"/>
      <w:marTop w:val="0"/>
      <w:marBottom w:val="0"/>
      <w:divBdr>
        <w:top w:val="none" w:sz="0" w:space="0" w:color="auto"/>
        <w:left w:val="none" w:sz="0" w:space="0" w:color="auto"/>
        <w:bottom w:val="none" w:sz="0" w:space="0" w:color="auto"/>
        <w:right w:val="none" w:sz="0" w:space="0" w:color="auto"/>
      </w:divBdr>
    </w:div>
    <w:div w:id="1608733328">
      <w:bodyDiv w:val="1"/>
      <w:marLeft w:val="0"/>
      <w:marRight w:val="0"/>
      <w:marTop w:val="0"/>
      <w:marBottom w:val="0"/>
      <w:divBdr>
        <w:top w:val="none" w:sz="0" w:space="0" w:color="auto"/>
        <w:left w:val="none" w:sz="0" w:space="0" w:color="auto"/>
        <w:bottom w:val="none" w:sz="0" w:space="0" w:color="auto"/>
        <w:right w:val="none" w:sz="0" w:space="0" w:color="auto"/>
      </w:divBdr>
    </w:div>
    <w:div w:id="1616131644">
      <w:bodyDiv w:val="1"/>
      <w:marLeft w:val="0"/>
      <w:marRight w:val="0"/>
      <w:marTop w:val="0"/>
      <w:marBottom w:val="0"/>
      <w:divBdr>
        <w:top w:val="none" w:sz="0" w:space="0" w:color="auto"/>
        <w:left w:val="none" w:sz="0" w:space="0" w:color="auto"/>
        <w:bottom w:val="none" w:sz="0" w:space="0" w:color="auto"/>
        <w:right w:val="none" w:sz="0" w:space="0" w:color="auto"/>
      </w:divBdr>
      <w:divsChild>
        <w:div w:id="2122339118">
          <w:marLeft w:val="360"/>
          <w:marRight w:val="0"/>
          <w:marTop w:val="200"/>
          <w:marBottom w:val="480"/>
          <w:divBdr>
            <w:top w:val="none" w:sz="0" w:space="0" w:color="auto"/>
            <w:left w:val="none" w:sz="0" w:space="0" w:color="auto"/>
            <w:bottom w:val="none" w:sz="0" w:space="0" w:color="auto"/>
            <w:right w:val="none" w:sz="0" w:space="0" w:color="auto"/>
          </w:divBdr>
        </w:div>
        <w:div w:id="35935877">
          <w:marLeft w:val="360"/>
          <w:marRight w:val="0"/>
          <w:marTop w:val="200"/>
          <w:marBottom w:val="480"/>
          <w:divBdr>
            <w:top w:val="none" w:sz="0" w:space="0" w:color="auto"/>
            <w:left w:val="none" w:sz="0" w:space="0" w:color="auto"/>
            <w:bottom w:val="none" w:sz="0" w:space="0" w:color="auto"/>
            <w:right w:val="none" w:sz="0" w:space="0" w:color="auto"/>
          </w:divBdr>
        </w:div>
      </w:divsChild>
    </w:div>
    <w:div w:id="1622104719">
      <w:bodyDiv w:val="1"/>
      <w:marLeft w:val="0"/>
      <w:marRight w:val="0"/>
      <w:marTop w:val="0"/>
      <w:marBottom w:val="0"/>
      <w:divBdr>
        <w:top w:val="none" w:sz="0" w:space="0" w:color="auto"/>
        <w:left w:val="none" w:sz="0" w:space="0" w:color="auto"/>
        <w:bottom w:val="none" w:sz="0" w:space="0" w:color="auto"/>
        <w:right w:val="none" w:sz="0" w:space="0" w:color="auto"/>
      </w:divBdr>
      <w:divsChild>
        <w:div w:id="330790555">
          <w:marLeft w:val="360"/>
          <w:marRight w:val="0"/>
          <w:marTop w:val="240"/>
          <w:marBottom w:val="240"/>
          <w:divBdr>
            <w:top w:val="none" w:sz="0" w:space="0" w:color="auto"/>
            <w:left w:val="none" w:sz="0" w:space="0" w:color="auto"/>
            <w:bottom w:val="none" w:sz="0" w:space="0" w:color="auto"/>
            <w:right w:val="none" w:sz="0" w:space="0" w:color="auto"/>
          </w:divBdr>
        </w:div>
        <w:div w:id="591204993">
          <w:marLeft w:val="360"/>
          <w:marRight w:val="0"/>
          <w:marTop w:val="240"/>
          <w:marBottom w:val="240"/>
          <w:divBdr>
            <w:top w:val="none" w:sz="0" w:space="0" w:color="auto"/>
            <w:left w:val="none" w:sz="0" w:space="0" w:color="auto"/>
            <w:bottom w:val="none" w:sz="0" w:space="0" w:color="auto"/>
            <w:right w:val="none" w:sz="0" w:space="0" w:color="auto"/>
          </w:divBdr>
        </w:div>
        <w:div w:id="1972245941">
          <w:marLeft w:val="360"/>
          <w:marRight w:val="0"/>
          <w:marTop w:val="240"/>
          <w:marBottom w:val="240"/>
          <w:divBdr>
            <w:top w:val="none" w:sz="0" w:space="0" w:color="auto"/>
            <w:left w:val="none" w:sz="0" w:space="0" w:color="auto"/>
            <w:bottom w:val="none" w:sz="0" w:space="0" w:color="auto"/>
            <w:right w:val="none" w:sz="0" w:space="0" w:color="auto"/>
          </w:divBdr>
        </w:div>
      </w:divsChild>
    </w:div>
    <w:div w:id="1628732611">
      <w:bodyDiv w:val="1"/>
      <w:marLeft w:val="0"/>
      <w:marRight w:val="0"/>
      <w:marTop w:val="0"/>
      <w:marBottom w:val="0"/>
      <w:divBdr>
        <w:top w:val="none" w:sz="0" w:space="0" w:color="auto"/>
        <w:left w:val="none" w:sz="0" w:space="0" w:color="auto"/>
        <w:bottom w:val="none" w:sz="0" w:space="0" w:color="auto"/>
        <w:right w:val="none" w:sz="0" w:space="0" w:color="auto"/>
      </w:divBdr>
      <w:divsChild>
        <w:div w:id="196704703">
          <w:marLeft w:val="360"/>
          <w:marRight w:val="0"/>
          <w:marTop w:val="240"/>
          <w:marBottom w:val="240"/>
          <w:divBdr>
            <w:top w:val="none" w:sz="0" w:space="0" w:color="auto"/>
            <w:left w:val="none" w:sz="0" w:space="0" w:color="auto"/>
            <w:bottom w:val="none" w:sz="0" w:space="0" w:color="auto"/>
            <w:right w:val="none" w:sz="0" w:space="0" w:color="auto"/>
          </w:divBdr>
        </w:div>
        <w:div w:id="1309822919">
          <w:marLeft w:val="360"/>
          <w:marRight w:val="0"/>
          <w:marTop w:val="240"/>
          <w:marBottom w:val="240"/>
          <w:divBdr>
            <w:top w:val="none" w:sz="0" w:space="0" w:color="auto"/>
            <w:left w:val="none" w:sz="0" w:space="0" w:color="auto"/>
            <w:bottom w:val="none" w:sz="0" w:space="0" w:color="auto"/>
            <w:right w:val="none" w:sz="0" w:space="0" w:color="auto"/>
          </w:divBdr>
        </w:div>
        <w:div w:id="1712419692">
          <w:marLeft w:val="360"/>
          <w:marRight w:val="0"/>
          <w:marTop w:val="240"/>
          <w:marBottom w:val="240"/>
          <w:divBdr>
            <w:top w:val="none" w:sz="0" w:space="0" w:color="auto"/>
            <w:left w:val="none" w:sz="0" w:space="0" w:color="auto"/>
            <w:bottom w:val="none" w:sz="0" w:space="0" w:color="auto"/>
            <w:right w:val="none" w:sz="0" w:space="0" w:color="auto"/>
          </w:divBdr>
        </w:div>
        <w:div w:id="2117366187">
          <w:marLeft w:val="360"/>
          <w:marRight w:val="0"/>
          <w:marTop w:val="240"/>
          <w:marBottom w:val="240"/>
          <w:divBdr>
            <w:top w:val="none" w:sz="0" w:space="0" w:color="auto"/>
            <w:left w:val="none" w:sz="0" w:space="0" w:color="auto"/>
            <w:bottom w:val="none" w:sz="0" w:space="0" w:color="auto"/>
            <w:right w:val="none" w:sz="0" w:space="0" w:color="auto"/>
          </w:divBdr>
        </w:div>
      </w:divsChild>
    </w:div>
    <w:div w:id="1660422477">
      <w:bodyDiv w:val="1"/>
      <w:marLeft w:val="0"/>
      <w:marRight w:val="0"/>
      <w:marTop w:val="0"/>
      <w:marBottom w:val="0"/>
      <w:divBdr>
        <w:top w:val="none" w:sz="0" w:space="0" w:color="auto"/>
        <w:left w:val="none" w:sz="0" w:space="0" w:color="auto"/>
        <w:bottom w:val="none" w:sz="0" w:space="0" w:color="auto"/>
        <w:right w:val="none" w:sz="0" w:space="0" w:color="auto"/>
      </w:divBdr>
    </w:div>
    <w:div w:id="1670521320">
      <w:bodyDiv w:val="1"/>
      <w:marLeft w:val="0"/>
      <w:marRight w:val="0"/>
      <w:marTop w:val="0"/>
      <w:marBottom w:val="0"/>
      <w:divBdr>
        <w:top w:val="none" w:sz="0" w:space="0" w:color="auto"/>
        <w:left w:val="none" w:sz="0" w:space="0" w:color="auto"/>
        <w:bottom w:val="none" w:sz="0" w:space="0" w:color="auto"/>
        <w:right w:val="none" w:sz="0" w:space="0" w:color="auto"/>
      </w:divBdr>
    </w:div>
    <w:div w:id="1687637296">
      <w:bodyDiv w:val="1"/>
      <w:marLeft w:val="0"/>
      <w:marRight w:val="0"/>
      <w:marTop w:val="0"/>
      <w:marBottom w:val="0"/>
      <w:divBdr>
        <w:top w:val="none" w:sz="0" w:space="0" w:color="auto"/>
        <w:left w:val="none" w:sz="0" w:space="0" w:color="auto"/>
        <w:bottom w:val="none" w:sz="0" w:space="0" w:color="auto"/>
        <w:right w:val="none" w:sz="0" w:space="0" w:color="auto"/>
      </w:divBdr>
    </w:div>
    <w:div w:id="1742486544">
      <w:bodyDiv w:val="1"/>
      <w:marLeft w:val="0"/>
      <w:marRight w:val="0"/>
      <w:marTop w:val="0"/>
      <w:marBottom w:val="0"/>
      <w:divBdr>
        <w:top w:val="none" w:sz="0" w:space="0" w:color="auto"/>
        <w:left w:val="none" w:sz="0" w:space="0" w:color="auto"/>
        <w:bottom w:val="none" w:sz="0" w:space="0" w:color="auto"/>
        <w:right w:val="none" w:sz="0" w:space="0" w:color="auto"/>
      </w:divBdr>
      <w:divsChild>
        <w:div w:id="102189138">
          <w:marLeft w:val="0"/>
          <w:marRight w:val="0"/>
          <w:marTop w:val="0"/>
          <w:marBottom w:val="0"/>
          <w:divBdr>
            <w:top w:val="none" w:sz="0" w:space="0" w:color="auto"/>
            <w:left w:val="none" w:sz="0" w:space="0" w:color="auto"/>
            <w:bottom w:val="none" w:sz="0" w:space="0" w:color="auto"/>
            <w:right w:val="none" w:sz="0" w:space="0" w:color="auto"/>
          </w:divBdr>
        </w:div>
        <w:div w:id="417334338">
          <w:marLeft w:val="0"/>
          <w:marRight w:val="0"/>
          <w:marTop w:val="0"/>
          <w:marBottom w:val="0"/>
          <w:divBdr>
            <w:top w:val="none" w:sz="0" w:space="0" w:color="auto"/>
            <w:left w:val="none" w:sz="0" w:space="0" w:color="auto"/>
            <w:bottom w:val="none" w:sz="0" w:space="0" w:color="auto"/>
            <w:right w:val="none" w:sz="0" w:space="0" w:color="auto"/>
          </w:divBdr>
        </w:div>
        <w:div w:id="499350690">
          <w:marLeft w:val="0"/>
          <w:marRight w:val="0"/>
          <w:marTop w:val="0"/>
          <w:marBottom w:val="0"/>
          <w:divBdr>
            <w:top w:val="none" w:sz="0" w:space="0" w:color="auto"/>
            <w:left w:val="none" w:sz="0" w:space="0" w:color="auto"/>
            <w:bottom w:val="none" w:sz="0" w:space="0" w:color="auto"/>
            <w:right w:val="none" w:sz="0" w:space="0" w:color="auto"/>
          </w:divBdr>
        </w:div>
        <w:div w:id="565411726">
          <w:marLeft w:val="0"/>
          <w:marRight w:val="0"/>
          <w:marTop w:val="0"/>
          <w:marBottom w:val="0"/>
          <w:divBdr>
            <w:top w:val="none" w:sz="0" w:space="0" w:color="auto"/>
            <w:left w:val="none" w:sz="0" w:space="0" w:color="auto"/>
            <w:bottom w:val="none" w:sz="0" w:space="0" w:color="auto"/>
            <w:right w:val="none" w:sz="0" w:space="0" w:color="auto"/>
          </w:divBdr>
        </w:div>
        <w:div w:id="900671911">
          <w:marLeft w:val="0"/>
          <w:marRight w:val="0"/>
          <w:marTop w:val="0"/>
          <w:marBottom w:val="0"/>
          <w:divBdr>
            <w:top w:val="none" w:sz="0" w:space="0" w:color="auto"/>
            <w:left w:val="none" w:sz="0" w:space="0" w:color="auto"/>
            <w:bottom w:val="none" w:sz="0" w:space="0" w:color="auto"/>
            <w:right w:val="none" w:sz="0" w:space="0" w:color="auto"/>
          </w:divBdr>
        </w:div>
        <w:div w:id="1948341405">
          <w:marLeft w:val="0"/>
          <w:marRight w:val="0"/>
          <w:marTop w:val="0"/>
          <w:marBottom w:val="0"/>
          <w:divBdr>
            <w:top w:val="none" w:sz="0" w:space="0" w:color="auto"/>
            <w:left w:val="none" w:sz="0" w:space="0" w:color="auto"/>
            <w:bottom w:val="none" w:sz="0" w:space="0" w:color="auto"/>
            <w:right w:val="none" w:sz="0" w:space="0" w:color="auto"/>
          </w:divBdr>
        </w:div>
        <w:div w:id="1978607848">
          <w:marLeft w:val="720"/>
          <w:marRight w:val="0"/>
          <w:marTop w:val="0"/>
          <w:marBottom w:val="0"/>
          <w:divBdr>
            <w:top w:val="none" w:sz="0" w:space="0" w:color="auto"/>
            <w:left w:val="none" w:sz="0" w:space="0" w:color="auto"/>
            <w:bottom w:val="none" w:sz="0" w:space="0" w:color="auto"/>
            <w:right w:val="none" w:sz="0" w:space="0" w:color="auto"/>
          </w:divBdr>
        </w:div>
      </w:divsChild>
    </w:div>
    <w:div w:id="1748074254">
      <w:bodyDiv w:val="1"/>
      <w:marLeft w:val="0"/>
      <w:marRight w:val="0"/>
      <w:marTop w:val="0"/>
      <w:marBottom w:val="0"/>
      <w:divBdr>
        <w:top w:val="none" w:sz="0" w:space="0" w:color="auto"/>
        <w:left w:val="none" w:sz="0" w:space="0" w:color="auto"/>
        <w:bottom w:val="none" w:sz="0" w:space="0" w:color="auto"/>
        <w:right w:val="none" w:sz="0" w:space="0" w:color="auto"/>
      </w:divBdr>
      <w:divsChild>
        <w:div w:id="553276567">
          <w:marLeft w:val="360"/>
          <w:marRight w:val="0"/>
          <w:marTop w:val="120"/>
          <w:marBottom w:val="120"/>
          <w:divBdr>
            <w:top w:val="none" w:sz="0" w:space="0" w:color="auto"/>
            <w:left w:val="none" w:sz="0" w:space="0" w:color="auto"/>
            <w:bottom w:val="none" w:sz="0" w:space="0" w:color="auto"/>
            <w:right w:val="none" w:sz="0" w:space="0" w:color="auto"/>
          </w:divBdr>
        </w:div>
        <w:div w:id="784495208">
          <w:marLeft w:val="1080"/>
          <w:marRight w:val="0"/>
          <w:marTop w:val="120"/>
          <w:marBottom w:val="120"/>
          <w:divBdr>
            <w:top w:val="none" w:sz="0" w:space="0" w:color="auto"/>
            <w:left w:val="none" w:sz="0" w:space="0" w:color="auto"/>
            <w:bottom w:val="none" w:sz="0" w:space="0" w:color="auto"/>
            <w:right w:val="none" w:sz="0" w:space="0" w:color="auto"/>
          </w:divBdr>
        </w:div>
        <w:div w:id="1069108414">
          <w:marLeft w:val="360"/>
          <w:marRight w:val="0"/>
          <w:marTop w:val="120"/>
          <w:marBottom w:val="120"/>
          <w:divBdr>
            <w:top w:val="none" w:sz="0" w:space="0" w:color="auto"/>
            <w:left w:val="none" w:sz="0" w:space="0" w:color="auto"/>
            <w:bottom w:val="none" w:sz="0" w:space="0" w:color="auto"/>
            <w:right w:val="none" w:sz="0" w:space="0" w:color="auto"/>
          </w:divBdr>
        </w:div>
        <w:div w:id="1081946478">
          <w:marLeft w:val="360"/>
          <w:marRight w:val="0"/>
          <w:marTop w:val="120"/>
          <w:marBottom w:val="120"/>
          <w:divBdr>
            <w:top w:val="none" w:sz="0" w:space="0" w:color="auto"/>
            <w:left w:val="none" w:sz="0" w:space="0" w:color="auto"/>
            <w:bottom w:val="none" w:sz="0" w:space="0" w:color="auto"/>
            <w:right w:val="none" w:sz="0" w:space="0" w:color="auto"/>
          </w:divBdr>
        </w:div>
        <w:div w:id="2104646496">
          <w:marLeft w:val="1080"/>
          <w:marRight w:val="0"/>
          <w:marTop w:val="120"/>
          <w:marBottom w:val="120"/>
          <w:divBdr>
            <w:top w:val="none" w:sz="0" w:space="0" w:color="auto"/>
            <w:left w:val="none" w:sz="0" w:space="0" w:color="auto"/>
            <w:bottom w:val="none" w:sz="0" w:space="0" w:color="auto"/>
            <w:right w:val="none" w:sz="0" w:space="0" w:color="auto"/>
          </w:divBdr>
        </w:div>
      </w:divsChild>
    </w:div>
    <w:div w:id="1809400603">
      <w:bodyDiv w:val="1"/>
      <w:marLeft w:val="0"/>
      <w:marRight w:val="0"/>
      <w:marTop w:val="0"/>
      <w:marBottom w:val="0"/>
      <w:divBdr>
        <w:top w:val="none" w:sz="0" w:space="0" w:color="auto"/>
        <w:left w:val="none" w:sz="0" w:space="0" w:color="auto"/>
        <w:bottom w:val="none" w:sz="0" w:space="0" w:color="auto"/>
        <w:right w:val="none" w:sz="0" w:space="0" w:color="auto"/>
      </w:divBdr>
      <w:divsChild>
        <w:div w:id="1912158542">
          <w:marLeft w:val="360"/>
          <w:marRight w:val="0"/>
          <w:marTop w:val="120"/>
          <w:marBottom w:val="120"/>
          <w:divBdr>
            <w:top w:val="none" w:sz="0" w:space="0" w:color="auto"/>
            <w:left w:val="none" w:sz="0" w:space="0" w:color="auto"/>
            <w:bottom w:val="none" w:sz="0" w:space="0" w:color="auto"/>
            <w:right w:val="none" w:sz="0" w:space="0" w:color="auto"/>
          </w:divBdr>
        </w:div>
        <w:div w:id="685670087">
          <w:marLeft w:val="1253"/>
          <w:marRight w:val="0"/>
          <w:marTop w:val="120"/>
          <w:marBottom w:val="120"/>
          <w:divBdr>
            <w:top w:val="none" w:sz="0" w:space="0" w:color="auto"/>
            <w:left w:val="none" w:sz="0" w:space="0" w:color="auto"/>
            <w:bottom w:val="none" w:sz="0" w:space="0" w:color="auto"/>
            <w:right w:val="none" w:sz="0" w:space="0" w:color="auto"/>
          </w:divBdr>
        </w:div>
        <w:div w:id="1259829463">
          <w:marLeft w:val="1253"/>
          <w:marRight w:val="0"/>
          <w:marTop w:val="120"/>
          <w:marBottom w:val="120"/>
          <w:divBdr>
            <w:top w:val="none" w:sz="0" w:space="0" w:color="auto"/>
            <w:left w:val="none" w:sz="0" w:space="0" w:color="auto"/>
            <w:bottom w:val="none" w:sz="0" w:space="0" w:color="auto"/>
            <w:right w:val="none" w:sz="0" w:space="0" w:color="auto"/>
          </w:divBdr>
        </w:div>
        <w:div w:id="1334406772">
          <w:marLeft w:val="360"/>
          <w:marRight w:val="0"/>
          <w:marTop w:val="120"/>
          <w:marBottom w:val="120"/>
          <w:divBdr>
            <w:top w:val="none" w:sz="0" w:space="0" w:color="auto"/>
            <w:left w:val="none" w:sz="0" w:space="0" w:color="auto"/>
            <w:bottom w:val="none" w:sz="0" w:space="0" w:color="auto"/>
            <w:right w:val="none" w:sz="0" w:space="0" w:color="auto"/>
          </w:divBdr>
        </w:div>
        <w:div w:id="1047336931">
          <w:marLeft w:val="360"/>
          <w:marRight w:val="0"/>
          <w:marTop w:val="120"/>
          <w:marBottom w:val="120"/>
          <w:divBdr>
            <w:top w:val="none" w:sz="0" w:space="0" w:color="auto"/>
            <w:left w:val="none" w:sz="0" w:space="0" w:color="auto"/>
            <w:bottom w:val="none" w:sz="0" w:space="0" w:color="auto"/>
            <w:right w:val="none" w:sz="0" w:space="0" w:color="auto"/>
          </w:divBdr>
        </w:div>
      </w:divsChild>
    </w:div>
    <w:div w:id="1811507960">
      <w:bodyDiv w:val="1"/>
      <w:marLeft w:val="0"/>
      <w:marRight w:val="0"/>
      <w:marTop w:val="0"/>
      <w:marBottom w:val="0"/>
      <w:divBdr>
        <w:top w:val="none" w:sz="0" w:space="0" w:color="auto"/>
        <w:left w:val="none" w:sz="0" w:space="0" w:color="auto"/>
        <w:bottom w:val="none" w:sz="0" w:space="0" w:color="auto"/>
        <w:right w:val="none" w:sz="0" w:space="0" w:color="auto"/>
      </w:divBdr>
      <w:divsChild>
        <w:div w:id="662392215">
          <w:marLeft w:val="1800"/>
          <w:marRight w:val="0"/>
          <w:marTop w:val="120"/>
          <w:marBottom w:val="120"/>
          <w:divBdr>
            <w:top w:val="none" w:sz="0" w:space="0" w:color="auto"/>
            <w:left w:val="none" w:sz="0" w:space="0" w:color="auto"/>
            <w:bottom w:val="none" w:sz="0" w:space="0" w:color="auto"/>
            <w:right w:val="none" w:sz="0" w:space="0" w:color="auto"/>
          </w:divBdr>
        </w:div>
        <w:div w:id="989746141">
          <w:marLeft w:val="1800"/>
          <w:marRight w:val="0"/>
          <w:marTop w:val="120"/>
          <w:marBottom w:val="120"/>
          <w:divBdr>
            <w:top w:val="none" w:sz="0" w:space="0" w:color="auto"/>
            <w:left w:val="none" w:sz="0" w:space="0" w:color="auto"/>
            <w:bottom w:val="none" w:sz="0" w:space="0" w:color="auto"/>
            <w:right w:val="none" w:sz="0" w:space="0" w:color="auto"/>
          </w:divBdr>
        </w:div>
        <w:div w:id="1188711374">
          <w:marLeft w:val="1800"/>
          <w:marRight w:val="0"/>
          <w:marTop w:val="120"/>
          <w:marBottom w:val="120"/>
          <w:divBdr>
            <w:top w:val="none" w:sz="0" w:space="0" w:color="auto"/>
            <w:left w:val="none" w:sz="0" w:space="0" w:color="auto"/>
            <w:bottom w:val="none" w:sz="0" w:space="0" w:color="auto"/>
            <w:right w:val="none" w:sz="0" w:space="0" w:color="auto"/>
          </w:divBdr>
        </w:div>
        <w:div w:id="2129203708">
          <w:marLeft w:val="360"/>
          <w:marRight w:val="0"/>
          <w:marTop w:val="120"/>
          <w:marBottom w:val="120"/>
          <w:divBdr>
            <w:top w:val="none" w:sz="0" w:space="0" w:color="auto"/>
            <w:left w:val="none" w:sz="0" w:space="0" w:color="auto"/>
            <w:bottom w:val="none" w:sz="0" w:space="0" w:color="auto"/>
            <w:right w:val="none" w:sz="0" w:space="0" w:color="auto"/>
          </w:divBdr>
        </w:div>
      </w:divsChild>
    </w:div>
    <w:div w:id="1814712145">
      <w:bodyDiv w:val="1"/>
      <w:marLeft w:val="0"/>
      <w:marRight w:val="0"/>
      <w:marTop w:val="0"/>
      <w:marBottom w:val="0"/>
      <w:divBdr>
        <w:top w:val="none" w:sz="0" w:space="0" w:color="auto"/>
        <w:left w:val="none" w:sz="0" w:space="0" w:color="auto"/>
        <w:bottom w:val="none" w:sz="0" w:space="0" w:color="auto"/>
        <w:right w:val="none" w:sz="0" w:space="0" w:color="auto"/>
      </w:divBdr>
    </w:div>
    <w:div w:id="1834027132">
      <w:bodyDiv w:val="1"/>
      <w:marLeft w:val="0"/>
      <w:marRight w:val="0"/>
      <w:marTop w:val="0"/>
      <w:marBottom w:val="0"/>
      <w:divBdr>
        <w:top w:val="none" w:sz="0" w:space="0" w:color="auto"/>
        <w:left w:val="none" w:sz="0" w:space="0" w:color="auto"/>
        <w:bottom w:val="none" w:sz="0" w:space="0" w:color="auto"/>
        <w:right w:val="none" w:sz="0" w:space="0" w:color="auto"/>
      </w:divBdr>
      <w:divsChild>
        <w:div w:id="951744386">
          <w:marLeft w:val="0"/>
          <w:marRight w:val="0"/>
          <w:marTop w:val="0"/>
          <w:marBottom w:val="0"/>
          <w:divBdr>
            <w:top w:val="none" w:sz="0" w:space="0" w:color="auto"/>
            <w:left w:val="none" w:sz="0" w:space="0" w:color="auto"/>
            <w:bottom w:val="none" w:sz="0" w:space="0" w:color="auto"/>
            <w:right w:val="none" w:sz="0" w:space="0" w:color="auto"/>
          </w:divBdr>
          <w:divsChild>
            <w:div w:id="903640347">
              <w:marLeft w:val="0"/>
              <w:marRight w:val="0"/>
              <w:marTop w:val="0"/>
              <w:marBottom w:val="0"/>
              <w:divBdr>
                <w:top w:val="none" w:sz="0" w:space="0" w:color="auto"/>
                <w:left w:val="none" w:sz="0" w:space="0" w:color="auto"/>
                <w:bottom w:val="none" w:sz="0" w:space="0" w:color="auto"/>
                <w:right w:val="none" w:sz="0" w:space="0" w:color="auto"/>
              </w:divBdr>
              <w:divsChild>
                <w:div w:id="727613360">
                  <w:marLeft w:val="0"/>
                  <w:marRight w:val="0"/>
                  <w:marTop w:val="0"/>
                  <w:marBottom w:val="0"/>
                  <w:divBdr>
                    <w:top w:val="none" w:sz="0" w:space="0" w:color="auto"/>
                    <w:left w:val="none" w:sz="0" w:space="0" w:color="auto"/>
                    <w:bottom w:val="none" w:sz="0" w:space="0" w:color="auto"/>
                    <w:right w:val="none" w:sz="0" w:space="0" w:color="auto"/>
                  </w:divBdr>
                  <w:divsChild>
                    <w:div w:id="1241797245">
                      <w:marLeft w:val="0"/>
                      <w:marRight w:val="0"/>
                      <w:marTop w:val="0"/>
                      <w:marBottom w:val="0"/>
                      <w:divBdr>
                        <w:top w:val="none" w:sz="0" w:space="0" w:color="auto"/>
                        <w:left w:val="none" w:sz="0" w:space="0" w:color="auto"/>
                        <w:bottom w:val="none" w:sz="0" w:space="0" w:color="auto"/>
                        <w:right w:val="none" w:sz="0" w:space="0" w:color="auto"/>
                      </w:divBdr>
                      <w:divsChild>
                        <w:div w:id="1007557672">
                          <w:marLeft w:val="0"/>
                          <w:marRight w:val="0"/>
                          <w:marTop w:val="0"/>
                          <w:marBottom w:val="0"/>
                          <w:divBdr>
                            <w:top w:val="none" w:sz="0" w:space="0" w:color="auto"/>
                            <w:left w:val="none" w:sz="0" w:space="0" w:color="auto"/>
                            <w:bottom w:val="none" w:sz="0" w:space="0" w:color="auto"/>
                            <w:right w:val="none" w:sz="0" w:space="0" w:color="auto"/>
                          </w:divBdr>
                          <w:divsChild>
                            <w:div w:id="1942684086">
                              <w:marLeft w:val="0"/>
                              <w:marRight w:val="0"/>
                              <w:marTop w:val="0"/>
                              <w:marBottom w:val="0"/>
                              <w:divBdr>
                                <w:top w:val="none" w:sz="0" w:space="0" w:color="auto"/>
                                <w:left w:val="none" w:sz="0" w:space="0" w:color="auto"/>
                                <w:bottom w:val="none" w:sz="0" w:space="0" w:color="auto"/>
                                <w:right w:val="none" w:sz="0" w:space="0" w:color="auto"/>
                              </w:divBdr>
                              <w:divsChild>
                                <w:div w:id="945845466">
                                  <w:marLeft w:val="0"/>
                                  <w:marRight w:val="0"/>
                                  <w:marTop w:val="0"/>
                                  <w:marBottom w:val="0"/>
                                  <w:divBdr>
                                    <w:top w:val="none" w:sz="0" w:space="0" w:color="auto"/>
                                    <w:left w:val="none" w:sz="0" w:space="0" w:color="auto"/>
                                    <w:bottom w:val="none" w:sz="0" w:space="0" w:color="auto"/>
                                    <w:right w:val="none" w:sz="0" w:space="0" w:color="auto"/>
                                  </w:divBdr>
                                  <w:divsChild>
                                    <w:div w:id="2292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85825">
      <w:bodyDiv w:val="1"/>
      <w:marLeft w:val="0"/>
      <w:marRight w:val="0"/>
      <w:marTop w:val="0"/>
      <w:marBottom w:val="0"/>
      <w:divBdr>
        <w:top w:val="none" w:sz="0" w:space="0" w:color="auto"/>
        <w:left w:val="none" w:sz="0" w:space="0" w:color="auto"/>
        <w:bottom w:val="none" w:sz="0" w:space="0" w:color="auto"/>
        <w:right w:val="none" w:sz="0" w:space="0" w:color="auto"/>
      </w:divBdr>
    </w:div>
    <w:div w:id="1890994420">
      <w:bodyDiv w:val="1"/>
      <w:marLeft w:val="0"/>
      <w:marRight w:val="0"/>
      <w:marTop w:val="0"/>
      <w:marBottom w:val="0"/>
      <w:divBdr>
        <w:top w:val="none" w:sz="0" w:space="0" w:color="auto"/>
        <w:left w:val="none" w:sz="0" w:space="0" w:color="auto"/>
        <w:bottom w:val="none" w:sz="0" w:space="0" w:color="auto"/>
        <w:right w:val="none" w:sz="0" w:space="0" w:color="auto"/>
      </w:divBdr>
    </w:div>
    <w:div w:id="1894850385">
      <w:bodyDiv w:val="1"/>
      <w:marLeft w:val="0"/>
      <w:marRight w:val="0"/>
      <w:marTop w:val="0"/>
      <w:marBottom w:val="0"/>
      <w:divBdr>
        <w:top w:val="none" w:sz="0" w:space="0" w:color="auto"/>
        <w:left w:val="none" w:sz="0" w:space="0" w:color="auto"/>
        <w:bottom w:val="none" w:sz="0" w:space="0" w:color="auto"/>
        <w:right w:val="none" w:sz="0" w:space="0" w:color="auto"/>
      </w:divBdr>
    </w:div>
    <w:div w:id="1927811390">
      <w:bodyDiv w:val="1"/>
      <w:marLeft w:val="0"/>
      <w:marRight w:val="0"/>
      <w:marTop w:val="0"/>
      <w:marBottom w:val="0"/>
      <w:divBdr>
        <w:top w:val="none" w:sz="0" w:space="0" w:color="auto"/>
        <w:left w:val="none" w:sz="0" w:space="0" w:color="auto"/>
        <w:bottom w:val="none" w:sz="0" w:space="0" w:color="auto"/>
        <w:right w:val="none" w:sz="0" w:space="0" w:color="auto"/>
      </w:divBdr>
      <w:divsChild>
        <w:div w:id="190724876">
          <w:marLeft w:val="360"/>
          <w:marRight w:val="0"/>
          <w:marTop w:val="240"/>
          <w:marBottom w:val="0"/>
          <w:divBdr>
            <w:top w:val="none" w:sz="0" w:space="0" w:color="auto"/>
            <w:left w:val="none" w:sz="0" w:space="0" w:color="auto"/>
            <w:bottom w:val="none" w:sz="0" w:space="0" w:color="auto"/>
            <w:right w:val="none" w:sz="0" w:space="0" w:color="auto"/>
          </w:divBdr>
        </w:div>
        <w:div w:id="2061510053">
          <w:marLeft w:val="360"/>
          <w:marRight w:val="0"/>
          <w:marTop w:val="240"/>
          <w:marBottom w:val="0"/>
          <w:divBdr>
            <w:top w:val="none" w:sz="0" w:space="0" w:color="auto"/>
            <w:left w:val="none" w:sz="0" w:space="0" w:color="auto"/>
            <w:bottom w:val="none" w:sz="0" w:space="0" w:color="auto"/>
            <w:right w:val="none" w:sz="0" w:space="0" w:color="auto"/>
          </w:divBdr>
        </w:div>
        <w:div w:id="664865615">
          <w:marLeft w:val="360"/>
          <w:marRight w:val="0"/>
          <w:marTop w:val="240"/>
          <w:marBottom w:val="0"/>
          <w:divBdr>
            <w:top w:val="none" w:sz="0" w:space="0" w:color="auto"/>
            <w:left w:val="none" w:sz="0" w:space="0" w:color="auto"/>
            <w:bottom w:val="none" w:sz="0" w:space="0" w:color="auto"/>
            <w:right w:val="none" w:sz="0" w:space="0" w:color="auto"/>
          </w:divBdr>
        </w:div>
        <w:div w:id="1862431648">
          <w:marLeft w:val="360"/>
          <w:marRight w:val="0"/>
          <w:marTop w:val="240"/>
          <w:marBottom w:val="0"/>
          <w:divBdr>
            <w:top w:val="none" w:sz="0" w:space="0" w:color="auto"/>
            <w:left w:val="none" w:sz="0" w:space="0" w:color="auto"/>
            <w:bottom w:val="none" w:sz="0" w:space="0" w:color="auto"/>
            <w:right w:val="none" w:sz="0" w:space="0" w:color="auto"/>
          </w:divBdr>
        </w:div>
        <w:div w:id="1229346692">
          <w:marLeft w:val="360"/>
          <w:marRight w:val="0"/>
          <w:marTop w:val="240"/>
          <w:marBottom w:val="0"/>
          <w:divBdr>
            <w:top w:val="none" w:sz="0" w:space="0" w:color="auto"/>
            <w:left w:val="none" w:sz="0" w:space="0" w:color="auto"/>
            <w:bottom w:val="none" w:sz="0" w:space="0" w:color="auto"/>
            <w:right w:val="none" w:sz="0" w:space="0" w:color="auto"/>
          </w:divBdr>
        </w:div>
      </w:divsChild>
    </w:div>
    <w:div w:id="1987970753">
      <w:bodyDiv w:val="1"/>
      <w:marLeft w:val="0"/>
      <w:marRight w:val="0"/>
      <w:marTop w:val="0"/>
      <w:marBottom w:val="0"/>
      <w:divBdr>
        <w:top w:val="none" w:sz="0" w:space="0" w:color="auto"/>
        <w:left w:val="none" w:sz="0" w:space="0" w:color="auto"/>
        <w:bottom w:val="none" w:sz="0" w:space="0" w:color="auto"/>
        <w:right w:val="none" w:sz="0" w:space="0" w:color="auto"/>
      </w:divBdr>
      <w:divsChild>
        <w:div w:id="1690451227">
          <w:marLeft w:val="576"/>
          <w:marRight w:val="0"/>
          <w:marTop w:val="120"/>
          <w:marBottom w:val="120"/>
          <w:divBdr>
            <w:top w:val="none" w:sz="0" w:space="0" w:color="auto"/>
            <w:left w:val="none" w:sz="0" w:space="0" w:color="auto"/>
            <w:bottom w:val="none" w:sz="0" w:space="0" w:color="auto"/>
            <w:right w:val="none" w:sz="0" w:space="0" w:color="auto"/>
          </w:divBdr>
        </w:div>
        <w:div w:id="2020112631">
          <w:marLeft w:val="1080"/>
          <w:marRight w:val="0"/>
          <w:marTop w:val="120"/>
          <w:marBottom w:val="120"/>
          <w:divBdr>
            <w:top w:val="none" w:sz="0" w:space="0" w:color="auto"/>
            <w:left w:val="none" w:sz="0" w:space="0" w:color="auto"/>
            <w:bottom w:val="none" w:sz="0" w:space="0" w:color="auto"/>
            <w:right w:val="none" w:sz="0" w:space="0" w:color="auto"/>
          </w:divBdr>
        </w:div>
        <w:div w:id="711349258">
          <w:marLeft w:val="1080"/>
          <w:marRight w:val="0"/>
          <w:marTop w:val="120"/>
          <w:marBottom w:val="120"/>
          <w:divBdr>
            <w:top w:val="none" w:sz="0" w:space="0" w:color="auto"/>
            <w:left w:val="none" w:sz="0" w:space="0" w:color="auto"/>
            <w:bottom w:val="none" w:sz="0" w:space="0" w:color="auto"/>
            <w:right w:val="none" w:sz="0" w:space="0" w:color="auto"/>
          </w:divBdr>
        </w:div>
        <w:div w:id="1956447155">
          <w:marLeft w:val="576"/>
          <w:marRight w:val="0"/>
          <w:marTop w:val="120"/>
          <w:marBottom w:val="120"/>
          <w:divBdr>
            <w:top w:val="none" w:sz="0" w:space="0" w:color="auto"/>
            <w:left w:val="none" w:sz="0" w:space="0" w:color="auto"/>
            <w:bottom w:val="none" w:sz="0" w:space="0" w:color="auto"/>
            <w:right w:val="none" w:sz="0" w:space="0" w:color="auto"/>
          </w:divBdr>
        </w:div>
      </w:divsChild>
    </w:div>
    <w:div w:id="1990358471">
      <w:bodyDiv w:val="1"/>
      <w:marLeft w:val="0"/>
      <w:marRight w:val="0"/>
      <w:marTop w:val="0"/>
      <w:marBottom w:val="0"/>
      <w:divBdr>
        <w:top w:val="none" w:sz="0" w:space="0" w:color="auto"/>
        <w:left w:val="none" w:sz="0" w:space="0" w:color="auto"/>
        <w:bottom w:val="none" w:sz="0" w:space="0" w:color="auto"/>
        <w:right w:val="none" w:sz="0" w:space="0" w:color="auto"/>
      </w:divBdr>
    </w:div>
    <w:div w:id="2007396802">
      <w:bodyDiv w:val="1"/>
      <w:marLeft w:val="0"/>
      <w:marRight w:val="0"/>
      <w:marTop w:val="0"/>
      <w:marBottom w:val="0"/>
      <w:divBdr>
        <w:top w:val="none" w:sz="0" w:space="0" w:color="auto"/>
        <w:left w:val="none" w:sz="0" w:space="0" w:color="auto"/>
        <w:bottom w:val="none" w:sz="0" w:space="0" w:color="auto"/>
        <w:right w:val="none" w:sz="0" w:space="0" w:color="auto"/>
      </w:divBdr>
    </w:div>
    <w:div w:id="2010786411">
      <w:bodyDiv w:val="1"/>
      <w:marLeft w:val="0"/>
      <w:marRight w:val="0"/>
      <w:marTop w:val="0"/>
      <w:marBottom w:val="0"/>
      <w:divBdr>
        <w:top w:val="none" w:sz="0" w:space="0" w:color="auto"/>
        <w:left w:val="none" w:sz="0" w:space="0" w:color="auto"/>
        <w:bottom w:val="none" w:sz="0" w:space="0" w:color="auto"/>
        <w:right w:val="none" w:sz="0" w:space="0" w:color="auto"/>
      </w:divBdr>
      <w:divsChild>
        <w:div w:id="294994256">
          <w:marLeft w:val="360"/>
          <w:marRight w:val="0"/>
          <w:marTop w:val="240"/>
          <w:marBottom w:val="0"/>
          <w:divBdr>
            <w:top w:val="none" w:sz="0" w:space="0" w:color="auto"/>
            <w:left w:val="none" w:sz="0" w:space="0" w:color="auto"/>
            <w:bottom w:val="none" w:sz="0" w:space="0" w:color="auto"/>
            <w:right w:val="none" w:sz="0" w:space="0" w:color="auto"/>
          </w:divBdr>
        </w:div>
        <w:div w:id="1660420331">
          <w:marLeft w:val="360"/>
          <w:marRight w:val="0"/>
          <w:marTop w:val="240"/>
          <w:marBottom w:val="0"/>
          <w:divBdr>
            <w:top w:val="none" w:sz="0" w:space="0" w:color="auto"/>
            <w:left w:val="none" w:sz="0" w:space="0" w:color="auto"/>
            <w:bottom w:val="none" w:sz="0" w:space="0" w:color="auto"/>
            <w:right w:val="none" w:sz="0" w:space="0" w:color="auto"/>
          </w:divBdr>
        </w:div>
        <w:div w:id="1836610057">
          <w:marLeft w:val="360"/>
          <w:marRight w:val="0"/>
          <w:marTop w:val="240"/>
          <w:marBottom w:val="0"/>
          <w:divBdr>
            <w:top w:val="none" w:sz="0" w:space="0" w:color="auto"/>
            <w:left w:val="none" w:sz="0" w:space="0" w:color="auto"/>
            <w:bottom w:val="none" w:sz="0" w:space="0" w:color="auto"/>
            <w:right w:val="none" w:sz="0" w:space="0" w:color="auto"/>
          </w:divBdr>
        </w:div>
      </w:divsChild>
    </w:div>
    <w:div w:id="2023586754">
      <w:bodyDiv w:val="1"/>
      <w:marLeft w:val="0"/>
      <w:marRight w:val="0"/>
      <w:marTop w:val="0"/>
      <w:marBottom w:val="0"/>
      <w:divBdr>
        <w:top w:val="none" w:sz="0" w:space="0" w:color="auto"/>
        <w:left w:val="none" w:sz="0" w:space="0" w:color="auto"/>
        <w:bottom w:val="none" w:sz="0" w:space="0" w:color="auto"/>
        <w:right w:val="none" w:sz="0" w:space="0" w:color="auto"/>
      </w:divBdr>
    </w:div>
    <w:div w:id="2034186358">
      <w:bodyDiv w:val="1"/>
      <w:marLeft w:val="0"/>
      <w:marRight w:val="0"/>
      <w:marTop w:val="0"/>
      <w:marBottom w:val="0"/>
      <w:divBdr>
        <w:top w:val="none" w:sz="0" w:space="0" w:color="auto"/>
        <w:left w:val="none" w:sz="0" w:space="0" w:color="auto"/>
        <w:bottom w:val="none" w:sz="0" w:space="0" w:color="auto"/>
        <w:right w:val="none" w:sz="0" w:space="0" w:color="auto"/>
      </w:divBdr>
    </w:div>
    <w:div w:id="2045515934">
      <w:bodyDiv w:val="1"/>
      <w:marLeft w:val="0"/>
      <w:marRight w:val="0"/>
      <w:marTop w:val="0"/>
      <w:marBottom w:val="0"/>
      <w:divBdr>
        <w:top w:val="none" w:sz="0" w:space="0" w:color="auto"/>
        <w:left w:val="none" w:sz="0" w:space="0" w:color="auto"/>
        <w:bottom w:val="none" w:sz="0" w:space="0" w:color="auto"/>
        <w:right w:val="none" w:sz="0" w:space="0" w:color="auto"/>
      </w:divBdr>
    </w:div>
    <w:div w:id="2047244825">
      <w:bodyDiv w:val="1"/>
      <w:marLeft w:val="0"/>
      <w:marRight w:val="0"/>
      <w:marTop w:val="0"/>
      <w:marBottom w:val="0"/>
      <w:divBdr>
        <w:top w:val="none" w:sz="0" w:space="0" w:color="auto"/>
        <w:left w:val="none" w:sz="0" w:space="0" w:color="auto"/>
        <w:bottom w:val="none" w:sz="0" w:space="0" w:color="auto"/>
        <w:right w:val="none" w:sz="0" w:space="0" w:color="auto"/>
      </w:divBdr>
      <w:divsChild>
        <w:div w:id="5911309">
          <w:marLeft w:val="806"/>
          <w:marRight w:val="0"/>
          <w:marTop w:val="120"/>
          <w:marBottom w:val="120"/>
          <w:divBdr>
            <w:top w:val="none" w:sz="0" w:space="0" w:color="auto"/>
            <w:left w:val="none" w:sz="0" w:space="0" w:color="auto"/>
            <w:bottom w:val="none" w:sz="0" w:space="0" w:color="auto"/>
            <w:right w:val="none" w:sz="0" w:space="0" w:color="auto"/>
          </w:divBdr>
        </w:div>
        <w:div w:id="592783252">
          <w:marLeft w:val="1080"/>
          <w:marRight w:val="0"/>
          <w:marTop w:val="120"/>
          <w:marBottom w:val="120"/>
          <w:divBdr>
            <w:top w:val="none" w:sz="0" w:space="0" w:color="auto"/>
            <w:left w:val="none" w:sz="0" w:space="0" w:color="auto"/>
            <w:bottom w:val="none" w:sz="0" w:space="0" w:color="auto"/>
            <w:right w:val="none" w:sz="0" w:space="0" w:color="auto"/>
          </w:divBdr>
        </w:div>
        <w:div w:id="983043656">
          <w:marLeft w:val="806"/>
          <w:marRight w:val="0"/>
          <w:marTop w:val="120"/>
          <w:marBottom w:val="120"/>
          <w:divBdr>
            <w:top w:val="none" w:sz="0" w:space="0" w:color="auto"/>
            <w:left w:val="none" w:sz="0" w:space="0" w:color="auto"/>
            <w:bottom w:val="none" w:sz="0" w:space="0" w:color="auto"/>
            <w:right w:val="none" w:sz="0" w:space="0" w:color="auto"/>
          </w:divBdr>
        </w:div>
        <w:div w:id="1087384114">
          <w:marLeft w:val="806"/>
          <w:marRight w:val="0"/>
          <w:marTop w:val="120"/>
          <w:marBottom w:val="120"/>
          <w:divBdr>
            <w:top w:val="none" w:sz="0" w:space="0" w:color="auto"/>
            <w:left w:val="none" w:sz="0" w:space="0" w:color="auto"/>
            <w:bottom w:val="none" w:sz="0" w:space="0" w:color="auto"/>
            <w:right w:val="none" w:sz="0" w:space="0" w:color="auto"/>
          </w:divBdr>
        </w:div>
        <w:div w:id="1121723707">
          <w:marLeft w:val="806"/>
          <w:marRight w:val="0"/>
          <w:marTop w:val="120"/>
          <w:marBottom w:val="120"/>
          <w:divBdr>
            <w:top w:val="none" w:sz="0" w:space="0" w:color="auto"/>
            <w:left w:val="none" w:sz="0" w:space="0" w:color="auto"/>
            <w:bottom w:val="none" w:sz="0" w:space="0" w:color="auto"/>
            <w:right w:val="none" w:sz="0" w:space="0" w:color="auto"/>
          </w:divBdr>
        </w:div>
        <w:div w:id="1333487600">
          <w:marLeft w:val="806"/>
          <w:marRight w:val="0"/>
          <w:marTop w:val="120"/>
          <w:marBottom w:val="120"/>
          <w:divBdr>
            <w:top w:val="none" w:sz="0" w:space="0" w:color="auto"/>
            <w:left w:val="none" w:sz="0" w:space="0" w:color="auto"/>
            <w:bottom w:val="none" w:sz="0" w:space="0" w:color="auto"/>
            <w:right w:val="none" w:sz="0" w:space="0" w:color="auto"/>
          </w:divBdr>
        </w:div>
        <w:div w:id="1355502141">
          <w:marLeft w:val="1080"/>
          <w:marRight w:val="0"/>
          <w:marTop w:val="120"/>
          <w:marBottom w:val="120"/>
          <w:divBdr>
            <w:top w:val="none" w:sz="0" w:space="0" w:color="auto"/>
            <w:left w:val="none" w:sz="0" w:space="0" w:color="auto"/>
            <w:bottom w:val="none" w:sz="0" w:space="0" w:color="auto"/>
            <w:right w:val="none" w:sz="0" w:space="0" w:color="auto"/>
          </w:divBdr>
        </w:div>
        <w:div w:id="1455060077">
          <w:marLeft w:val="806"/>
          <w:marRight w:val="0"/>
          <w:marTop w:val="120"/>
          <w:marBottom w:val="120"/>
          <w:divBdr>
            <w:top w:val="none" w:sz="0" w:space="0" w:color="auto"/>
            <w:left w:val="none" w:sz="0" w:space="0" w:color="auto"/>
            <w:bottom w:val="none" w:sz="0" w:space="0" w:color="auto"/>
            <w:right w:val="none" w:sz="0" w:space="0" w:color="auto"/>
          </w:divBdr>
        </w:div>
        <w:div w:id="1897737797">
          <w:marLeft w:val="1080"/>
          <w:marRight w:val="0"/>
          <w:marTop w:val="120"/>
          <w:marBottom w:val="120"/>
          <w:divBdr>
            <w:top w:val="none" w:sz="0" w:space="0" w:color="auto"/>
            <w:left w:val="none" w:sz="0" w:space="0" w:color="auto"/>
            <w:bottom w:val="none" w:sz="0" w:space="0" w:color="auto"/>
            <w:right w:val="none" w:sz="0" w:space="0" w:color="auto"/>
          </w:divBdr>
        </w:div>
      </w:divsChild>
    </w:div>
    <w:div w:id="2077124533">
      <w:bodyDiv w:val="1"/>
      <w:marLeft w:val="0"/>
      <w:marRight w:val="0"/>
      <w:marTop w:val="0"/>
      <w:marBottom w:val="0"/>
      <w:divBdr>
        <w:top w:val="none" w:sz="0" w:space="0" w:color="auto"/>
        <w:left w:val="none" w:sz="0" w:space="0" w:color="auto"/>
        <w:bottom w:val="none" w:sz="0" w:space="0" w:color="auto"/>
        <w:right w:val="none" w:sz="0" w:space="0" w:color="auto"/>
      </w:divBdr>
      <w:divsChild>
        <w:div w:id="197938802">
          <w:marLeft w:val="547"/>
          <w:marRight w:val="0"/>
          <w:marTop w:val="0"/>
          <w:marBottom w:val="0"/>
          <w:divBdr>
            <w:top w:val="none" w:sz="0" w:space="0" w:color="auto"/>
            <w:left w:val="none" w:sz="0" w:space="0" w:color="auto"/>
            <w:bottom w:val="none" w:sz="0" w:space="0" w:color="auto"/>
            <w:right w:val="none" w:sz="0" w:space="0" w:color="auto"/>
          </w:divBdr>
        </w:div>
        <w:div w:id="315185952">
          <w:marLeft w:val="547"/>
          <w:marRight w:val="0"/>
          <w:marTop w:val="0"/>
          <w:marBottom w:val="0"/>
          <w:divBdr>
            <w:top w:val="none" w:sz="0" w:space="0" w:color="auto"/>
            <w:left w:val="none" w:sz="0" w:space="0" w:color="auto"/>
            <w:bottom w:val="none" w:sz="0" w:space="0" w:color="auto"/>
            <w:right w:val="none" w:sz="0" w:space="0" w:color="auto"/>
          </w:divBdr>
        </w:div>
      </w:divsChild>
    </w:div>
    <w:div w:id="2077701602">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sChild>
        <w:div w:id="839739316">
          <w:marLeft w:val="0"/>
          <w:marRight w:val="0"/>
          <w:marTop w:val="0"/>
          <w:marBottom w:val="0"/>
          <w:divBdr>
            <w:top w:val="none" w:sz="0" w:space="0" w:color="auto"/>
            <w:left w:val="none" w:sz="0" w:space="0" w:color="auto"/>
            <w:bottom w:val="none" w:sz="0" w:space="0" w:color="auto"/>
            <w:right w:val="none" w:sz="0" w:space="0" w:color="auto"/>
          </w:divBdr>
          <w:divsChild>
            <w:div w:id="450318690">
              <w:marLeft w:val="0"/>
              <w:marRight w:val="0"/>
              <w:marTop w:val="0"/>
              <w:marBottom w:val="0"/>
              <w:divBdr>
                <w:top w:val="none" w:sz="0" w:space="0" w:color="auto"/>
                <w:left w:val="none" w:sz="0" w:space="0" w:color="auto"/>
                <w:bottom w:val="none" w:sz="0" w:space="0" w:color="auto"/>
                <w:right w:val="none" w:sz="0" w:space="0" w:color="auto"/>
              </w:divBdr>
              <w:divsChild>
                <w:div w:id="400107583">
                  <w:marLeft w:val="-225"/>
                  <w:marRight w:val="-225"/>
                  <w:marTop w:val="0"/>
                  <w:marBottom w:val="0"/>
                  <w:divBdr>
                    <w:top w:val="none" w:sz="0" w:space="0" w:color="auto"/>
                    <w:left w:val="none" w:sz="0" w:space="0" w:color="auto"/>
                    <w:bottom w:val="none" w:sz="0" w:space="0" w:color="auto"/>
                    <w:right w:val="none" w:sz="0" w:space="0" w:color="auto"/>
                  </w:divBdr>
                  <w:divsChild>
                    <w:div w:id="1690990114">
                      <w:marLeft w:val="0"/>
                      <w:marRight w:val="0"/>
                      <w:marTop w:val="0"/>
                      <w:marBottom w:val="0"/>
                      <w:divBdr>
                        <w:top w:val="none" w:sz="0" w:space="0" w:color="auto"/>
                        <w:left w:val="none" w:sz="0" w:space="0" w:color="auto"/>
                        <w:bottom w:val="none" w:sz="0" w:space="0" w:color="auto"/>
                        <w:right w:val="none" w:sz="0" w:space="0" w:color="auto"/>
                      </w:divBdr>
                      <w:divsChild>
                        <w:div w:id="124533314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397423">
      <w:bodyDiv w:val="1"/>
      <w:marLeft w:val="0"/>
      <w:marRight w:val="0"/>
      <w:marTop w:val="0"/>
      <w:marBottom w:val="0"/>
      <w:divBdr>
        <w:top w:val="none" w:sz="0" w:space="0" w:color="auto"/>
        <w:left w:val="none" w:sz="0" w:space="0" w:color="auto"/>
        <w:bottom w:val="none" w:sz="0" w:space="0" w:color="auto"/>
        <w:right w:val="none" w:sz="0" w:space="0" w:color="auto"/>
      </w:divBdr>
      <w:divsChild>
        <w:div w:id="91972118">
          <w:marLeft w:val="360"/>
          <w:marRight w:val="0"/>
          <w:marTop w:val="120"/>
          <w:marBottom w:val="120"/>
          <w:divBdr>
            <w:top w:val="none" w:sz="0" w:space="0" w:color="auto"/>
            <w:left w:val="none" w:sz="0" w:space="0" w:color="auto"/>
            <w:bottom w:val="none" w:sz="0" w:space="0" w:color="auto"/>
            <w:right w:val="none" w:sz="0" w:space="0" w:color="auto"/>
          </w:divBdr>
        </w:div>
        <w:div w:id="1612782966">
          <w:marLeft w:val="1080"/>
          <w:marRight w:val="0"/>
          <w:marTop w:val="120"/>
          <w:marBottom w:val="120"/>
          <w:divBdr>
            <w:top w:val="none" w:sz="0" w:space="0" w:color="auto"/>
            <w:left w:val="none" w:sz="0" w:space="0" w:color="auto"/>
            <w:bottom w:val="none" w:sz="0" w:space="0" w:color="auto"/>
            <w:right w:val="none" w:sz="0" w:space="0" w:color="auto"/>
          </w:divBdr>
        </w:div>
        <w:div w:id="1416626597">
          <w:marLeft w:val="1080"/>
          <w:marRight w:val="0"/>
          <w:marTop w:val="120"/>
          <w:marBottom w:val="120"/>
          <w:divBdr>
            <w:top w:val="none" w:sz="0" w:space="0" w:color="auto"/>
            <w:left w:val="none" w:sz="0" w:space="0" w:color="auto"/>
            <w:bottom w:val="none" w:sz="0" w:space="0" w:color="auto"/>
            <w:right w:val="none" w:sz="0" w:space="0" w:color="auto"/>
          </w:divBdr>
        </w:div>
        <w:div w:id="1898274594">
          <w:marLeft w:val="360"/>
          <w:marRight w:val="0"/>
          <w:marTop w:val="120"/>
          <w:marBottom w:val="120"/>
          <w:divBdr>
            <w:top w:val="none" w:sz="0" w:space="0" w:color="auto"/>
            <w:left w:val="none" w:sz="0" w:space="0" w:color="auto"/>
            <w:bottom w:val="none" w:sz="0" w:space="0" w:color="auto"/>
            <w:right w:val="none" w:sz="0" w:space="0" w:color="auto"/>
          </w:divBdr>
        </w:div>
        <w:div w:id="583878174">
          <w:marLeft w:val="360"/>
          <w:marRight w:val="0"/>
          <w:marTop w:val="120"/>
          <w:marBottom w:val="120"/>
          <w:divBdr>
            <w:top w:val="none" w:sz="0" w:space="0" w:color="auto"/>
            <w:left w:val="none" w:sz="0" w:space="0" w:color="auto"/>
            <w:bottom w:val="none" w:sz="0" w:space="0" w:color="auto"/>
            <w:right w:val="none" w:sz="0" w:space="0" w:color="auto"/>
          </w:divBdr>
        </w:div>
      </w:divsChild>
    </w:div>
    <w:div w:id="2128616150">
      <w:bodyDiv w:val="1"/>
      <w:marLeft w:val="0"/>
      <w:marRight w:val="0"/>
      <w:marTop w:val="0"/>
      <w:marBottom w:val="0"/>
      <w:divBdr>
        <w:top w:val="none" w:sz="0" w:space="0" w:color="auto"/>
        <w:left w:val="none" w:sz="0" w:space="0" w:color="auto"/>
        <w:bottom w:val="none" w:sz="0" w:space="0" w:color="auto"/>
        <w:right w:val="none" w:sz="0" w:space="0" w:color="auto"/>
      </w:divBdr>
      <w:divsChild>
        <w:div w:id="127860973">
          <w:marLeft w:val="360"/>
          <w:marRight w:val="0"/>
          <w:marTop w:val="240"/>
          <w:marBottom w:val="0"/>
          <w:divBdr>
            <w:top w:val="none" w:sz="0" w:space="0" w:color="auto"/>
            <w:left w:val="none" w:sz="0" w:space="0" w:color="auto"/>
            <w:bottom w:val="none" w:sz="0" w:space="0" w:color="auto"/>
            <w:right w:val="none" w:sz="0" w:space="0" w:color="auto"/>
          </w:divBdr>
        </w:div>
        <w:div w:id="581373095">
          <w:marLeft w:val="1080"/>
          <w:marRight w:val="0"/>
          <w:marTop w:val="240"/>
          <w:marBottom w:val="0"/>
          <w:divBdr>
            <w:top w:val="none" w:sz="0" w:space="0" w:color="auto"/>
            <w:left w:val="none" w:sz="0" w:space="0" w:color="auto"/>
            <w:bottom w:val="none" w:sz="0" w:space="0" w:color="auto"/>
            <w:right w:val="none" w:sz="0" w:space="0" w:color="auto"/>
          </w:divBdr>
        </w:div>
        <w:div w:id="2000111514">
          <w:marLeft w:val="360"/>
          <w:marRight w:val="0"/>
          <w:marTop w:val="240"/>
          <w:marBottom w:val="0"/>
          <w:divBdr>
            <w:top w:val="none" w:sz="0" w:space="0" w:color="auto"/>
            <w:left w:val="none" w:sz="0" w:space="0" w:color="auto"/>
            <w:bottom w:val="none" w:sz="0" w:space="0" w:color="auto"/>
            <w:right w:val="none" w:sz="0" w:space="0" w:color="auto"/>
          </w:divBdr>
        </w:div>
      </w:divsChild>
    </w:div>
    <w:div w:id="2131050911">
      <w:bodyDiv w:val="1"/>
      <w:marLeft w:val="0"/>
      <w:marRight w:val="0"/>
      <w:marTop w:val="0"/>
      <w:marBottom w:val="0"/>
      <w:divBdr>
        <w:top w:val="none" w:sz="0" w:space="0" w:color="auto"/>
        <w:left w:val="none" w:sz="0" w:space="0" w:color="auto"/>
        <w:bottom w:val="none" w:sz="0" w:space="0" w:color="auto"/>
        <w:right w:val="none" w:sz="0" w:space="0" w:color="auto"/>
      </w:divBdr>
      <w:divsChild>
        <w:div w:id="157815365">
          <w:marLeft w:val="0"/>
          <w:marRight w:val="0"/>
          <w:marTop w:val="0"/>
          <w:marBottom w:val="0"/>
          <w:divBdr>
            <w:top w:val="none" w:sz="0" w:space="0" w:color="auto"/>
            <w:left w:val="none" w:sz="0" w:space="0" w:color="auto"/>
            <w:bottom w:val="none" w:sz="0" w:space="0" w:color="auto"/>
            <w:right w:val="none" w:sz="0" w:space="0" w:color="auto"/>
          </w:divBdr>
          <w:divsChild>
            <w:div w:id="602148585">
              <w:marLeft w:val="0"/>
              <w:marRight w:val="0"/>
              <w:marTop w:val="0"/>
              <w:marBottom w:val="0"/>
              <w:divBdr>
                <w:top w:val="none" w:sz="0" w:space="0" w:color="auto"/>
                <w:left w:val="none" w:sz="0" w:space="0" w:color="auto"/>
                <w:bottom w:val="none" w:sz="0" w:space="0" w:color="auto"/>
                <w:right w:val="none" w:sz="0" w:space="0" w:color="auto"/>
              </w:divBdr>
            </w:div>
          </w:divsChild>
        </w:div>
        <w:div w:id="1804616345">
          <w:marLeft w:val="0"/>
          <w:marRight w:val="0"/>
          <w:marTop w:val="0"/>
          <w:marBottom w:val="0"/>
          <w:divBdr>
            <w:top w:val="none" w:sz="0" w:space="0" w:color="auto"/>
            <w:left w:val="none" w:sz="0" w:space="0" w:color="auto"/>
            <w:bottom w:val="none" w:sz="0" w:space="0" w:color="auto"/>
            <w:right w:val="none" w:sz="0" w:space="0" w:color="auto"/>
          </w:divBdr>
        </w:div>
      </w:divsChild>
    </w:div>
    <w:div w:id="21418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de.ca.gov/be/pn/im/documents/memo-exe-jan17item02.doc" TargetMode="External"/><Relationship Id="rId117" Type="http://schemas.openxmlformats.org/officeDocument/2006/relationships/hyperlink" Target="https://www.cde.ca.gov/be/ag/ag/yr20/documents/nov20item06.docx" TargetMode="External"/><Relationship Id="rId21" Type="http://schemas.openxmlformats.org/officeDocument/2006/relationships/hyperlink" Target="https://www.cde.ca.gov/be/ag/ag/yr14/documents/nov14item14.doc" TargetMode="External"/><Relationship Id="rId42" Type="http://schemas.openxmlformats.org/officeDocument/2006/relationships/hyperlink" Target="https://www.cde.ca.gov/be/ag/ag/yr16/documents/may16item02revised.doc" TargetMode="External"/><Relationship Id="rId47" Type="http://schemas.openxmlformats.org/officeDocument/2006/relationships/hyperlink" Target="https://www.cde.ca.gov/be/ag/ag/yr19/documents/sep19item01.docx" TargetMode="External"/><Relationship Id="rId63" Type="http://schemas.openxmlformats.org/officeDocument/2006/relationships/hyperlink" Target="https://www.cde.ca.gov/be/pn/im/documents/memo-pptb-amard-aug18item02.docx" TargetMode="External"/><Relationship Id="rId68" Type="http://schemas.openxmlformats.org/officeDocument/2006/relationships/hyperlink" Target="https://www.cde.ca.gov/be/pn/im/infomemojun2019.asp" TargetMode="External"/><Relationship Id="rId84" Type="http://schemas.openxmlformats.org/officeDocument/2006/relationships/hyperlink" Target="https://www.cde.ca.gov/be/ag/ag/yr18/documents/mar18item01.docx" TargetMode="External"/><Relationship Id="rId89" Type="http://schemas.openxmlformats.org/officeDocument/2006/relationships/hyperlink" Target="https://www.cde.ca.gov/be/ag/ag/yr18/documents/nov18item04.docx" TargetMode="External"/><Relationship Id="rId112" Type="http://schemas.openxmlformats.org/officeDocument/2006/relationships/hyperlink" Target="https://www.cde.ca.gov/be/pn/im/documents/nov19memoamard01.docx" TargetMode="External"/><Relationship Id="rId133" Type="http://schemas.openxmlformats.org/officeDocument/2006/relationships/header" Target="header4.xml"/><Relationship Id="rId138" Type="http://schemas.openxmlformats.org/officeDocument/2006/relationships/hyperlink" Target="https://www.cde.ca.gov/ta/ac/cm/dashboardflyers.asp" TargetMode="External"/><Relationship Id="rId154" Type="http://schemas.microsoft.com/office/2018/08/relationships/commentsExtensible" Target="commentsExtensible.xml"/><Relationship Id="rId16" Type="http://schemas.openxmlformats.org/officeDocument/2006/relationships/footer" Target="footer3.xml"/><Relationship Id="rId107" Type="http://schemas.openxmlformats.org/officeDocument/2006/relationships/hyperlink" Target="https://www.cde.ca.gov/be/pn/im/documents/memo-pptb-amard-feb18item01.docx" TargetMode="External"/><Relationship Id="rId11" Type="http://schemas.openxmlformats.org/officeDocument/2006/relationships/image" Target="media/image1.png"/><Relationship Id="rId32" Type="http://schemas.openxmlformats.org/officeDocument/2006/relationships/hyperlink" Target="https://www.cde.ca.gov/be/pn/im/documents/memo-pptb-amard-feb18item02.docx" TargetMode="External"/><Relationship Id="rId37" Type="http://schemas.openxmlformats.org/officeDocument/2006/relationships/hyperlink" Target="https://www.cde.ca.gov/be/pn/im/documents/memo-pptb-amard-mar18item01.docx" TargetMode="External"/><Relationship Id="rId53" Type="http://schemas.openxmlformats.org/officeDocument/2006/relationships/hyperlink" Target="https://www.cde.ca.gov/be/pn/im/documents/memo-pptb-amard-aug18item02.docx" TargetMode="External"/><Relationship Id="rId58" Type="http://schemas.openxmlformats.org/officeDocument/2006/relationships/hyperlink" Target="https://www.cde.ca.gov/be/ag/ag/yr17/documents/sep17item02.doc" TargetMode="External"/><Relationship Id="rId74" Type="http://schemas.openxmlformats.org/officeDocument/2006/relationships/hyperlink" Target="https://www.cde.ca.gov/be/ag/ag/yr21/documents/jan21item04.docx" TargetMode="External"/><Relationship Id="rId79" Type="http://schemas.openxmlformats.org/officeDocument/2006/relationships/hyperlink" Target="https://www.cde.ca.gov/be/pn/im/documents/memo-pptb-amard-aug19item02.docx" TargetMode="External"/><Relationship Id="rId102" Type="http://schemas.openxmlformats.org/officeDocument/2006/relationships/hyperlink" Target="https://www.cde.ca.gov/be/ag/ag/yr20/documents/nov20item06.docx" TargetMode="External"/><Relationship Id="rId123" Type="http://schemas.openxmlformats.org/officeDocument/2006/relationships/hyperlink" Target="https://www.cde.ca.gov/be/pn/im/documents/aug20amard01.docx" TargetMode="External"/><Relationship Id="rId128" Type="http://schemas.openxmlformats.org/officeDocument/2006/relationships/hyperlink" Target="https://www.cde.ca.gov/be/pn/im/infomemofeb2022.asp" TargetMode="External"/><Relationship Id="rId144" Type="http://schemas.openxmlformats.org/officeDocument/2006/relationships/header" Target="header9.xml"/><Relationship Id="rId149"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cde.ca.gov/be/ag/ag/yr19/documents/jul19item01.docx" TargetMode="External"/><Relationship Id="rId95" Type="http://schemas.openxmlformats.org/officeDocument/2006/relationships/hyperlink" Target="https://www.cde.ca.gov/be/ag/ag/yr21/documents/jan21item04.docx" TargetMode="External"/><Relationship Id="rId22" Type="http://schemas.openxmlformats.org/officeDocument/2006/relationships/hyperlink" Target="http://www.cde.ca.gov/be/ag/ag/yr16/documents/sep16item01.doc" TargetMode="External"/><Relationship Id="rId27" Type="http://schemas.openxmlformats.org/officeDocument/2006/relationships/hyperlink" Target="http://www.cde.ca.gov/be/pn/im/documents/memo-exec-ocd-jun17item01.doc" TargetMode="External"/><Relationship Id="rId43" Type="http://schemas.openxmlformats.org/officeDocument/2006/relationships/hyperlink" Target="https://www.cde.ca.gov/be/ag/ag/yr17/documents/jan17item02.doc" TargetMode="External"/><Relationship Id="rId48" Type="http://schemas.openxmlformats.org/officeDocument/2006/relationships/hyperlink" Target="https://www.cde.ca.gov/be/ag/ag/yr14/documents/nov14item14.doc" TargetMode="External"/><Relationship Id="rId64" Type="http://schemas.openxmlformats.org/officeDocument/2006/relationships/hyperlink" Target="https://www.cde.ca.gov/be/ag/ag/yr18/documents/sep18item01.docx" TargetMode="External"/><Relationship Id="rId69" Type="http://schemas.openxmlformats.org/officeDocument/2006/relationships/hyperlink" Target="https://www.cde.ca.gov/be/pn/im/documents/memo-branch-eeed-aug19item02.docx" TargetMode="External"/><Relationship Id="rId113" Type="http://schemas.openxmlformats.org/officeDocument/2006/relationships/hyperlink" Target="https://www.cde.ca.gov/be/ag/ag/yr20/documents/mar20item05.docx" TargetMode="External"/><Relationship Id="rId118" Type="http://schemas.openxmlformats.org/officeDocument/2006/relationships/hyperlink" Target="https://www.cde.ca.gov/be/pn/im/documents/feb21memoamard02.docx" TargetMode="External"/><Relationship Id="rId134" Type="http://schemas.openxmlformats.org/officeDocument/2006/relationships/footer" Target="footer5.xml"/><Relationship Id="rId139" Type="http://schemas.openxmlformats.org/officeDocument/2006/relationships/hyperlink" Target="https://www.cde.ca.gov/ta/ac/cm/documents/refguidedashboard.docx" TargetMode="External"/><Relationship Id="rId80" Type="http://schemas.openxmlformats.org/officeDocument/2006/relationships/hyperlink" Target="https://www.cde.ca.gov/be/ag/ag/yr19/documents/sep19item01.docx" TargetMode="External"/><Relationship Id="rId85" Type="http://schemas.openxmlformats.org/officeDocument/2006/relationships/hyperlink" Target="https://www.cde.ca.gov/be/ag/ag/yr18/documents/may18item02.docx" TargetMode="External"/><Relationship Id="rId150"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cde.ca.gov/be/pn/im/documents/memo-pptb-amard-feb18item02.docx" TargetMode="External"/><Relationship Id="rId33" Type="http://schemas.openxmlformats.org/officeDocument/2006/relationships/hyperlink" Target="https://www.cde.ca.gov/be/pn/im/documents/memo-pptb-amard-feb18item01.docx" TargetMode="External"/><Relationship Id="rId38" Type="http://schemas.openxmlformats.org/officeDocument/2006/relationships/hyperlink" Target="https://www.cde.ca.gov/be/pn/im/documents/memo-pptb-amard-jun18item02.docx" TargetMode="External"/><Relationship Id="rId46" Type="http://schemas.openxmlformats.org/officeDocument/2006/relationships/hyperlink" Target="https://www.cde.ca.gov/be/ag/ag/yr18/documents/nov18item04.docx" TargetMode="External"/><Relationship Id="rId59" Type="http://schemas.openxmlformats.org/officeDocument/2006/relationships/hyperlink" Target="https://www.cde.ca.gov/be/pn/im/documents/memo-pptb-amard-feb18item02.docx" TargetMode="External"/><Relationship Id="rId67" Type="http://schemas.openxmlformats.org/officeDocument/2006/relationships/hyperlink" Target="https://www.cde.ca.gov/be/ag/ag/yr19/documents/may19item01studysession.docx" TargetMode="External"/><Relationship Id="rId103" Type="http://schemas.openxmlformats.org/officeDocument/2006/relationships/hyperlink" Target="https://www.cde.ca.gov/be/pn/im/documents/memo-dsib-amard-jun16item01.doc" TargetMode="External"/><Relationship Id="rId108" Type="http://schemas.openxmlformats.org/officeDocument/2006/relationships/hyperlink" Target="https://www.cde.ca.gov/be/ag/ag/yr18/documents/may18item02.docx" TargetMode="External"/><Relationship Id="rId116" Type="http://schemas.openxmlformats.org/officeDocument/2006/relationships/hyperlink" Target="https://www.cde.ca.gov/be/ag/ag/yr20/documents/sep20item02.docx" TargetMode="External"/><Relationship Id="rId124" Type="http://schemas.openxmlformats.org/officeDocument/2006/relationships/hyperlink" Target="https://www.cde.ca.gov/be/ag/ag/yr20/documents/sep20item02.docx" TargetMode="External"/><Relationship Id="rId129" Type="http://schemas.openxmlformats.org/officeDocument/2006/relationships/hyperlink" Target="https://www.cde.ca.gov/be/ag/ag/yr20/documents/may20item03.docx" TargetMode="External"/><Relationship Id="rId137" Type="http://schemas.openxmlformats.org/officeDocument/2006/relationships/hyperlink" Target="https://www.cde.ca.gov/ta/ac/cm/dashboardflyers.asp" TargetMode="External"/><Relationship Id="rId20" Type="http://schemas.openxmlformats.org/officeDocument/2006/relationships/hyperlink" Target="https://www6.cde.ca.gov/californiamodel/" TargetMode="External"/><Relationship Id="rId41" Type="http://schemas.openxmlformats.org/officeDocument/2006/relationships/hyperlink" Target="https://www.cde.ca.gov/be/pn/im/documents/dec21memoamard01.docx" TargetMode="External"/><Relationship Id="rId54" Type="http://schemas.openxmlformats.org/officeDocument/2006/relationships/hyperlink" Target="https://www.cde.ca.gov/be/ag/ag/yr18/documents/sep18item01.docx" TargetMode="External"/><Relationship Id="rId62" Type="http://schemas.openxmlformats.org/officeDocument/2006/relationships/hyperlink" Target="https://www.cde.ca.gov/be/ag/ag/yr18/documents/may18item02slides.pdf" TargetMode="External"/><Relationship Id="rId70" Type="http://schemas.openxmlformats.org/officeDocument/2006/relationships/hyperlink" Target="https://www.cde.ca.gov/be/ag/ag/yr20/documents/mar20item05.docx" TargetMode="External"/><Relationship Id="rId75" Type="http://schemas.openxmlformats.org/officeDocument/2006/relationships/hyperlink" Target="https://www.cde.ca.gov/be/ag/ag/yr21/documents/may21item04.docx" TargetMode="External"/><Relationship Id="rId83" Type="http://schemas.openxmlformats.org/officeDocument/2006/relationships/hyperlink" Target="https://www.cde.ca.gov/be/ag/ag/yr16/documents/sep16item01.doc" TargetMode="External"/><Relationship Id="rId88" Type="http://schemas.openxmlformats.org/officeDocument/2006/relationships/hyperlink" Target="https://www.cde.ca.gov/be/ag/ag/yr18/documents/sep18item01.docx" TargetMode="External"/><Relationship Id="rId91" Type="http://schemas.openxmlformats.org/officeDocument/2006/relationships/hyperlink" Target="https://www.cde.ca.gov/be/ag/ag/yr19/documents/sep19item01.docx" TargetMode="External"/><Relationship Id="rId96" Type="http://schemas.openxmlformats.org/officeDocument/2006/relationships/hyperlink" Target="https://www.cde.ca.gov/be/pn/im/documents/feb22memogad01.docx" TargetMode="External"/><Relationship Id="rId111" Type="http://schemas.openxmlformats.org/officeDocument/2006/relationships/hyperlink" Target="https://www.cde.ca.gov/be/pn/im/documents/memo-pptb-amard-apr19item02.docx" TargetMode="External"/><Relationship Id="rId132" Type="http://schemas.openxmlformats.org/officeDocument/2006/relationships/hyperlink" Target="https://www.cde.ca.gov/be/ag/ag/yr21/documents/mar21item02addendum.docx" TargetMode="External"/><Relationship Id="rId140" Type="http://schemas.openxmlformats.org/officeDocument/2006/relationships/header" Target="header6.xml"/><Relationship Id="rId14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cde.ca.gov/be/ag/ag/yr16/documents/nov16item03.doc" TargetMode="External"/><Relationship Id="rId28" Type="http://schemas.openxmlformats.org/officeDocument/2006/relationships/hyperlink" Target="https://www.cde.ca.gov/be/ag/ag/yr17/documents/may17item01.doc" TargetMode="External"/><Relationship Id="rId36" Type="http://schemas.openxmlformats.org/officeDocument/2006/relationships/hyperlink" Target="https://www.cde.ca.gov/be/pn/im/documents/memo-pptb-amard-apr18item01.docx" TargetMode="External"/><Relationship Id="rId49" Type="http://schemas.openxmlformats.org/officeDocument/2006/relationships/hyperlink" Target="https://www.cde.ca.gov/be/ag/ag/yr16/documents/may16item02revised.doc" TargetMode="External"/><Relationship Id="rId57" Type="http://schemas.openxmlformats.org/officeDocument/2006/relationships/hyperlink" Target="https://www.cde.ca.gov/be/ag/ag/yr16/documents/sep16item01.doc" TargetMode="External"/><Relationship Id="rId106" Type="http://schemas.openxmlformats.org/officeDocument/2006/relationships/hyperlink" Target="https://www.cde.ca.gov/be/pn/im/documents/memo-asb-adad-jun17item03.doc" TargetMode="External"/><Relationship Id="rId114" Type="http://schemas.openxmlformats.org/officeDocument/2006/relationships/hyperlink" Target="https://www.cde.ca.gov/be/pn/im/documents/memo-imb-amard-june20item01.docx" TargetMode="External"/><Relationship Id="rId119" Type="http://schemas.openxmlformats.org/officeDocument/2006/relationships/hyperlink" Target="https://www.cde.ca.gov/be/ag/ag/yr21/documents/may21item03.docx" TargetMode="External"/><Relationship Id="rId127" Type="http://schemas.openxmlformats.org/officeDocument/2006/relationships/hyperlink" Target="https://www.cde.ca.gov/be/pn/im/documents/apr20memoamard02.docx" TargetMode="External"/><Relationship Id="rId10" Type="http://schemas.openxmlformats.org/officeDocument/2006/relationships/endnotes" Target="endnotes.xml"/><Relationship Id="rId31" Type="http://schemas.openxmlformats.org/officeDocument/2006/relationships/hyperlink" Target="https://www.cde.ca.gov/be/ag/ag/yr18/documents/jan18item01.docx" TargetMode="External"/><Relationship Id="rId44" Type="http://schemas.openxmlformats.org/officeDocument/2006/relationships/hyperlink" Target="https://www.cde.ca.gov/be/ag/ag/yr17/documents/nov17item03.doc" TargetMode="External"/><Relationship Id="rId52" Type="http://schemas.openxmlformats.org/officeDocument/2006/relationships/hyperlink" Target="https://www.cde.ca.gov/be/ag/ag/yr18/documents/mar18item01.docx" TargetMode="External"/><Relationship Id="rId60" Type="http://schemas.openxmlformats.org/officeDocument/2006/relationships/hyperlink" Target="https://www.cde.ca.gov/be/ag/ag/yr18/documents/mar18item01.docx" TargetMode="External"/><Relationship Id="rId65" Type="http://schemas.openxmlformats.org/officeDocument/2006/relationships/hyperlink" Target="https://www.cde.ca.gov/be/ag/ag/yr18/documents/nov18item04.docx" TargetMode="External"/><Relationship Id="rId73" Type="http://schemas.openxmlformats.org/officeDocument/2006/relationships/hyperlink" Target="https://www.cde.ca.gov/be/ag/ag/yr20/documents/sep20item05rev.docx" TargetMode="External"/><Relationship Id="rId78" Type="http://schemas.openxmlformats.org/officeDocument/2006/relationships/hyperlink" Target="https://www.cde.ca.gov/be/ag/ag/yr18/documents/nov18item04.docx" TargetMode="External"/><Relationship Id="rId81" Type="http://schemas.openxmlformats.org/officeDocument/2006/relationships/hyperlink" Target="https://www.cde.ca.gov/be/ag/ag/yr19/documents/nov19item04.docx" TargetMode="External"/><Relationship Id="rId86" Type="http://schemas.openxmlformats.org/officeDocument/2006/relationships/hyperlink" Target="https://www.cde.ca.gov/be/pn/im/documents/memo-pptb-amard-jun18item02.docx" TargetMode="External"/><Relationship Id="rId94" Type="http://schemas.openxmlformats.org/officeDocument/2006/relationships/hyperlink" Target="https://www.cde.ca.gov/be/ag/ag/yr16/documents/sep16item01.doc" TargetMode="External"/><Relationship Id="rId99" Type="http://schemas.openxmlformats.org/officeDocument/2006/relationships/hyperlink" Target="https://www.cde.ca.gov/be/ag/ag/yr18/documents/may18item02.docx" TargetMode="External"/><Relationship Id="rId101" Type="http://schemas.openxmlformats.org/officeDocument/2006/relationships/hyperlink" Target="https://www.cde.ca.gov/be/pn/im/documents/apr21memoamard01.docx" TargetMode="External"/><Relationship Id="rId122" Type="http://schemas.openxmlformats.org/officeDocument/2006/relationships/hyperlink" Target="https://www.cde.ca.gov/be/ag/ag/yr19/documents/nov19item05rev.docx" TargetMode="External"/><Relationship Id="rId130" Type="http://schemas.openxmlformats.org/officeDocument/2006/relationships/hyperlink" Target="https://www.cde.ca.gov/be/ag/ag/yr21/documents/jan21item04.docx" TargetMode="External"/><Relationship Id="rId135" Type="http://schemas.openxmlformats.org/officeDocument/2006/relationships/header" Target="header5.xml"/><Relationship Id="rId143" Type="http://schemas.openxmlformats.org/officeDocument/2006/relationships/header" Target="header8.xml"/><Relationship Id="rId148"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www.cde.ca.gov/be/ag/ag/yr19/documents/mar19item17.docx" TargetMode="External"/><Relationship Id="rId109" Type="http://schemas.openxmlformats.org/officeDocument/2006/relationships/hyperlink" Target="https://www.cde.ca.gov/be/ag/ag/yr18/documents/jul18item01.docx" TargetMode="External"/><Relationship Id="rId34" Type="http://schemas.openxmlformats.org/officeDocument/2006/relationships/hyperlink" Target="https://www.cde.ca.gov/be/ag/ag/yr18/documents/mar18item01.docx" TargetMode="External"/><Relationship Id="rId50" Type="http://schemas.openxmlformats.org/officeDocument/2006/relationships/hyperlink" Target="https://www.cde.ca.gov/be/ag/ag/yr17/documents/sep17item02.doc" TargetMode="External"/><Relationship Id="rId55" Type="http://schemas.openxmlformats.org/officeDocument/2006/relationships/hyperlink" Target="https://www.cde.ca.gov/be/ag/ag/yr18/documents/nov18item04.docx" TargetMode="External"/><Relationship Id="rId76" Type="http://schemas.openxmlformats.org/officeDocument/2006/relationships/hyperlink" Target="https://www.cde.ca.gov/be/ag/ag/yr16/documents/sep16item01.doc" TargetMode="External"/><Relationship Id="rId97" Type="http://schemas.openxmlformats.org/officeDocument/2006/relationships/hyperlink" Target="https://www.cde.ca.gov/be/ag/ag/yr17/documents/jul17item01.doc" TargetMode="External"/><Relationship Id="rId104" Type="http://schemas.openxmlformats.org/officeDocument/2006/relationships/hyperlink" Target="https://www.cde.ca.gov/be/pn/im/documents/memo-dsib-amard-feb16item01.doc" TargetMode="External"/><Relationship Id="rId120" Type="http://schemas.openxmlformats.org/officeDocument/2006/relationships/hyperlink" Target="https://www.cde.ca.gov/be/pn/im/documents/oct21memoamard01.docx" TargetMode="External"/><Relationship Id="rId125" Type="http://schemas.openxmlformats.org/officeDocument/2006/relationships/hyperlink" Target="https://www.cde.ca.gov/be/ag/ag/yr21/documents/nov21item06.docx" TargetMode="External"/><Relationship Id="rId141" Type="http://schemas.openxmlformats.org/officeDocument/2006/relationships/header" Target="header7.xml"/><Relationship Id="rId146" Type="http://schemas.openxmlformats.org/officeDocument/2006/relationships/header" Target="header10.xml"/><Relationship Id="rId7" Type="http://schemas.openxmlformats.org/officeDocument/2006/relationships/settings" Target="settings.xml"/><Relationship Id="rId71" Type="http://schemas.openxmlformats.org/officeDocument/2006/relationships/hyperlink" Target="https://www.cde.ca.gov/be/ag/ag/yr20/documents/may20item02.docx" TargetMode="External"/><Relationship Id="rId92" Type="http://schemas.openxmlformats.org/officeDocument/2006/relationships/hyperlink" Target="https://www.cde.ca.gov/be/ag/ag/yr19/documents/nov19item05rev.docx" TargetMode="External"/><Relationship Id="rId2" Type="http://schemas.openxmlformats.org/officeDocument/2006/relationships/customXml" Target="../customXml/item2.xml"/><Relationship Id="rId29" Type="http://schemas.openxmlformats.org/officeDocument/2006/relationships/hyperlink" Target="https://www.cde.ca.gov/be/ag/ag/yr17/documents/nov17item03rev.doc" TargetMode="External"/><Relationship Id="rId24" Type="http://schemas.openxmlformats.org/officeDocument/2006/relationships/hyperlink" Target="http://www.cde.ca.gov/be/pn/im/documents/memo-exe-jan17item01.doc" TargetMode="External"/><Relationship Id="rId40" Type="http://schemas.openxmlformats.org/officeDocument/2006/relationships/hyperlink" Target="https://www.cde.ca.gov/be/ag/ag/yr20/documents/mar20item05.docx" TargetMode="External"/><Relationship Id="rId45" Type="http://schemas.openxmlformats.org/officeDocument/2006/relationships/hyperlink" Target="https://www.cde.ca.gov/be/ag/ag/yr18/documents/apr18item01.docx" TargetMode="External"/><Relationship Id="rId66" Type="http://schemas.openxmlformats.org/officeDocument/2006/relationships/hyperlink" Target="https://www.cde.ca.gov/be/pn/im/documents/memo-pptb-amard-apr19item01.docx" TargetMode="External"/><Relationship Id="rId87" Type="http://schemas.openxmlformats.org/officeDocument/2006/relationships/hyperlink" Target="https://www.cde.ca.gov/be/pn/im/documents/memo-pptb-amard-aug18item02.docx" TargetMode="External"/><Relationship Id="rId110" Type="http://schemas.openxmlformats.org/officeDocument/2006/relationships/hyperlink" Target="https://www.cde.ca.gov/be/pn/im/documents/memo-pptb-amard-feb19item03.docx" TargetMode="External"/><Relationship Id="rId115" Type="http://schemas.openxmlformats.org/officeDocument/2006/relationships/hyperlink" Target="https://www.cde.ca.gov/be/ag/ag/yr20/documents/jul20item02.docx" TargetMode="External"/><Relationship Id="rId131" Type="http://schemas.openxmlformats.org/officeDocument/2006/relationships/hyperlink" Target="https://www.cde.ca.gov/be/ag/ag/yr21/documents/feb2124item02addendum.docx" TargetMode="External"/><Relationship Id="rId136" Type="http://schemas.openxmlformats.org/officeDocument/2006/relationships/footer" Target="footer6.xml"/><Relationship Id="rId61" Type="http://schemas.openxmlformats.org/officeDocument/2006/relationships/hyperlink" Target="https://www.cde.ca.gov/be/pn/im/documents/memo-pptb-amard-apr18item02.docx" TargetMode="External"/><Relationship Id="rId82" Type="http://schemas.openxmlformats.org/officeDocument/2006/relationships/hyperlink" Target="https://www.cde.ca.gov/be/ag/ag/yr16/documents/may16item02revised.doc" TargetMode="External"/><Relationship Id="rId19" Type="http://schemas.openxmlformats.org/officeDocument/2006/relationships/hyperlink" Target="https://www.cde.ca.gov/ds/ad" TargetMode="External"/><Relationship Id="rId14" Type="http://schemas.openxmlformats.org/officeDocument/2006/relationships/header" Target="header2.xml"/><Relationship Id="rId30" Type="http://schemas.openxmlformats.org/officeDocument/2006/relationships/hyperlink" Target="https://www.cde.ca.gov/be/pn/im/documents/memo-exec-ocd-feb18item01.docx" TargetMode="External"/><Relationship Id="rId35" Type="http://schemas.openxmlformats.org/officeDocument/2006/relationships/hyperlink" Target="https://www.cde.ca.gov/be/ag/ag/yr18/documents/apr18item01.docx" TargetMode="External"/><Relationship Id="rId56" Type="http://schemas.openxmlformats.org/officeDocument/2006/relationships/hyperlink" Target="https://www.cde.ca.gov/be/mt/ms/documents/finalminutes1314jul2016.doc" TargetMode="External"/><Relationship Id="rId77" Type="http://schemas.openxmlformats.org/officeDocument/2006/relationships/hyperlink" Target="https://www.cde.ca.gov/be/ag/ag/yr18/documents/jul18item01.docx" TargetMode="External"/><Relationship Id="rId100" Type="http://schemas.openxmlformats.org/officeDocument/2006/relationships/hyperlink" Target="https://www.cde.ca.gov/be/pn/im/documents/memo-pptb-amard-aug19item01.docx" TargetMode="External"/><Relationship Id="rId105" Type="http://schemas.openxmlformats.org/officeDocument/2006/relationships/hyperlink" Target="https://www.cde.ca.gov/be/ag/ag/yr17/documents/jan17item02.doc" TargetMode="External"/><Relationship Id="rId126" Type="http://schemas.openxmlformats.org/officeDocument/2006/relationships/hyperlink" Target="https://www.cde.ca.gov/be/pn/im/documents/apr20memoamard01.docx" TargetMode="External"/><Relationship Id="rId147" Type="http://schemas.openxmlformats.org/officeDocument/2006/relationships/hyperlink" Target="https://www.cde.ca.gov/be/ag/ag/yr22/agenda202203.asp" TargetMode="External"/><Relationship Id="rId8" Type="http://schemas.openxmlformats.org/officeDocument/2006/relationships/webSettings" Target="webSettings.xml"/><Relationship Id="rId51" Type="http://schemas.openxmlformats.org/officeDocument/2006/relationships/hyperlink" Target="https://www.cde.ca.gov/be/ag/ag/yr17/documents/nov17item03.doc" TargetMode="External"/><Relationship Id="rId72" Type="http://schemas.openxmlformats.org/officeDocument/2006/relationships/hyperlink" Target="https://www.cde.ca.gov/be/ag/ag/yr20/documents/sep20item02.docx" TargetMode="External"/><Relationship Id="rId93" Type="http://schemas.openxmlformats.org/officeDocument/2006/relationships/hyperlink" Target="https://www.cde.ca.gov/be/ag/ag/yr16/documents/may16item02revised.doc" TargetMode="External"/><Relationship Id="rId98" Type="http://schemas.openxmlformats.org/officeDocument/2006/relationships/hyperlink" Target="https://www.cde.ca.gov/be/ag/ag/yr18/documents/mar18item01.docx" TargetMode="External"/><Relationship Id="rId121" Type="http://schemas.openxmlformats.org/officeDocument/2006/relationships/hyperlink" Target="https://www.cde.ca.gov/be/pn/im/infomemofeb2022.asp" TargetMode="External"/><Relationship Id="rId142" Type="http://schemas.openxmlformats.org/officeDocument/2006/relationships/footer" Target="footer7.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Cindy Kazanis</DisplayName>
        <AccountId>13</AccountId>
        <AccountType/>
      </UserInfo>
      <UserInfo>
        <DisplayName>Syma Solovitch</DisplayName>
        <AccountId>15</AccountId>
        <AccountType/>
      </UserInfo>
      <UserInfo>
        <DisplayName>Jenny Singh</DisplayName>
        <AccountId>14</AccountId>
        <AccountType/>
      </UserInfo>
      <UserInfo>
        <DisplayName>SBE Items and Memos Members</DisplayName>
        <AccountId>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98D0908-4DA1-41E7-9482-81FC5422800C}">
  <ds:schemaRefs>
    <ds:schemaRef ds:uri="http://purl.org/dc/elements/1.1/"/>
    <ds:schemaRef ds:uri="http://schemas.microsoft.com/office/2006/metadata/properties"/>
    <ds:schemaRef ds:uri="1aae30ff-d7bc-47e3-882e-cd3423d00d62"/>
    <ds:schemaRef ds:uri="http://purl.org/dc/terms/"/>
    <ds:schemaRef ds:uri="f89dec18-d0c2-45d2-8a15-31051f2519f8"/>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3163DB-21C3-4211-8DDE-31D62F1622D2}">
  <ds:schemaRefs>
    <ds:schemaRef ds:uri="http://schemas.microsoft.com/sharepoint/v3/contenttype/forms"/>
  </ds:schemaRefs>
</ds:datastoreItem>
</file>

<file path=customXml/itemProps3.xml><?xml version="1.0" encoding="utf-8"?>
<ds:datastoreItem xmlns:ds="http://schemas.openxmlformats.org/officeDocument/2006/customXml" ds:itemID="{6F566F19-767E-46B2-9019-C591BD4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A6125-3406-41C3-B83B-6040525D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16872</Words>
  <Characters>96175</Characters>
  <DocSecurity>0</DocSecurity>
  <Lines>801</Lines>
  <Paragraphs>225</Paragraphs>
  <ScaleCrop>false</ScaleCrop>
  <HeadingPairs>
    <vt:vector size="2" baseType="variant">
      <vt:variant>
        <vt:lpstr>Title</vt:lpstr>
      </vt:variant>
      <vt:variant>
        <vt:i4>1</vt:i4>
      </vt:variant>
    </vt:vector>
  </HeadingPairs>
  <TitlesOfParts>
    <vt:vector size="1" baseType="lpstr">
      <vt:lpstr>May 2020 Agenda Item 02 - Meeting Agendas (CA State Board of Education)</vt:lpstr>
    </vt:vector>
  </TitlesOfParts>
  <Company>California State Board of Education</Company>
  <LinksUpToDate>false</LinksUpToDate>
  <CharactersWithSpaces>112822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2022 Agenda Item 04 - Meeting Agendas (CA State Board of Education)</dc:title>
  <dc:subject>Update on the Implementation of the Integrated Local, State, and Federal Accountability and Continuous Improvement System.</dc:subject>
  <dc:creator/>
  <cp:keywords/>
  <dc:description/>
  <cp:lastPrinted>2020-02-26T19:23:00Z</cp:lastPrinted>
  <dcterms:created xsi:type="dcterms:W3CDTF">2022-02-23T21:27:00Z</dcterms:created>
  <dcterms:modified xsi:type="dcterms:W3CDTF">2022-02-24T23:47:00Z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