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3B7F" w14:textId="7E652ECE" w:rsidR="00614586" w:rsidRDefault="00614586">
      <w:bookmarkStart w:id="0" w:name="_Hlk72390148"/>
    </w:p>
    <w:p w14:paraId="631C0EAD" w14:textId="77777777" w:rsidR="00614586" w:rsidRPr="006041A7" w:rsidRDefault="00614586" w:rsidP="00614586">
      <w:pPr>
        <w:rPr>
          <w:rFonts w:ascii="Arial" w:hAnsi="Arial" w:cs="Arial"/>
          <w:bCs/>
          <w:sz w:val="72"/>
          <w:szCs w:val="72"/>
        </w:rPr>
      </w:pPr>
      <w:r w:rsidRPr="006041A7">
        <w:rPr>
          <w:rFonts w:ascii="Arial" w:hAnsi="Arial" w:cs="Arial"/>
          <w:b/>
          <w:bCs/>
          <w:sz w:val="72"/>
          <w:szCs w:val="72"/>
        </w:rPr>
        <w:t>The Common Message</w:t>
      </w:r>
    </w:p>
    <w:p w14:paraId="466BE933" w14:textId="77777777" w:rsidR="00614586" w:rsidRPr="006041A7" w:rsidRDefault="00614586" w:rsidP="00614586"/>
    <w:p w14:paraId="34DE2803" w14:textId="77777777" w:rsidR="00614586" w:rsidRPr="006041A7" w:rsidRDefault="00614586" w:rsidP="00614586"/>
    <w:p w14:paraId="49B1D6CD" w14:textId="77777777" w:rsidR="00614586" w:rsidRPr="006041A7" w:rsidRDefault="00614586" w:rsidP="00614586"/>
    <w:p w14:paraId="3447F988" w14:textId="54C8E281" w:rsidR="00A7672E" w:rsidRDefault="00614586" w:rsidP="00614586">
      <w:pPr>
        <w:rPr>
          <w:rFonts w:ascii="Arial" w:hAnsi="Arial" w:cs="Arial"/>
          <w:b/>
          <w:bCs/>
          <w:sz w:val="40"/>
          <w:szCs w:val="40"/>
        </w:rPr>
      </w:pPr>
      <w:r w:rsidRPr="006041A7">
        <w:rPr>
          <w:rFonts w:ascii="Arial" w:hAnsi="Arial" w:cs="Arial"/>
          <w:b/>
          <w:bCs/>
          <w:sz w:val="40"/>
          <w:szCs w:val="40"/>
        </w:rPr>
        <w:t>202</w:t>
      </w:r>
      <w:r w:rsidR="00C94DE2">
        <w:rPr>
          <w:rFonts w:ascii="Arial" w:hAnsi="Arial" w:cs="Arial"/>
          <w:b/>
          <w:bCs/>
          <w:sz w:val="40"/>
          <w:szCs w:val="40"/>
        </w:rPr>
        <w:t>1-22</w:t>
      </w:r>
      <w:r w:rsidRPr="006041A7">
        <w:rPr>
          <w:rFonts w:ascii="Arial" w:hAnsi="Arial" w:cs="Arial"/>
          <w:b/>
          <w:bCs/>
          <w:sz w:val="40"/>
          <w:szCs w:val="40"/>
        </w:rPr>
        <w:t xml:space="preserve"> </w:t>
      </w:r>
      <w:r w:rsidR="00DE54E1">
        <w:rPr>
          <w:rFonts w:ascii="Arial" w:hAnsi="Arial" w:cs="Arial"/>
          <w:b/>
          <w:bCs/>
          <w:sz w:val="40"/>
          <w:szCs w:val="40"/>
        </w:rPr>
        <w:t>Adopted Budget</w:t>
      </w:r>
    </w:p>
    <w:p w14:paraId="468A5CE6" w14:textId="1A9DD6D9" w:rsidR="00614586" w:rsidRPr="006041A7" w:rsidRDefault="00A7672E" w:rsidP="00614586">
      <w:pPr>
        <w:rPr>
          <w:rFonts w:ascii="Arial" w:hAnsi="Arial" w:cs="Arial"/>
          <w:bCs/>
          <w:szCs w:val="40"/>
        </w:rPr>
      </w:pPr>
      <w:r>
        <w:rPr>
          <w:rFonts w:ascii="Arial" w:hAnsi="Arial" w:cs="Arial"/>
          <w:b/>
          <w:bCs/>
          <w:sz w:val="40"/>
          <w:szCs w:val="40"/>
        </w:rPr>
        <w:t>45-Day Revision</w:t>
      </w:r>
      <w:r w:rsidR="00614586" w:rsidRPr="006041A7">
        <w:rPr>
          <w:rFonts w:ascii="Arial" w:hAnsi="Arial" w:cs="Arial"/>
          <w:b/>
          <w:bCs/>
          <w:sz w:val="40"/>
          <w:szCs w:val="40"/>
        </w:rPr>
        <w:t xml:space="preserve"> </w:t>
      </w:r>
    </w:p>
    <w:p w14:paraId="451AC902" w14:textId="77777777" w:rsidR="00614586" w:rsidRPr="00E668E3" w:rsidRDefault="00614586" w:rsidP="00614586">
      <w:pPr>
        <w:pStyle w:val="Body"/>
        <w:rPr>
          <w:rFonts w:eastAsia="MS Mincho"/>
        </w:rPr>
      </w:pPr>
    </w:p>
    <w:p w14:paraId="2F9E2952" w14:textId="77777777" w:rsidR="00614586" w:rsidRPr="00E668E3" w:rsidRDefault="00614586" w:rsidP="00614586">
      <w:pPr>
        <w:pStyle w:val="Body"/>
        <w:rPr>
          <w:rFonts w:eastAsia="MS Mincho"/>
        </w:rPr>
      </w:pPr>
    </w:p>
    <w:p w14:paraId="691D6600" w14:textId="77777777" w:rsidR="00614586" w:rsidRPr="00E668E3" w:rsidRDefault="00614586" w:rsidP="00614586">
      <w:pPr>
        <w:pStyle w:val="Body"/>
        <w:rPr>
          <w:rFonts w:eastAsia="MS Mincho"/>
        </w:rPr>
      </w:pPr>
    </w:p>
    <w:p w14:paraId="27DEF75A" w14:textId="77777777" w:rsidR="00614586" w:rsidRPr="00E668E3" w:rsidRDefault="00614586" w:rsidP="00614586">
      <w:pPr>
        <w:pStyle w:val="Body"/>
        <w:rPr>
          <w:rFonts w:eastAsia="MS Mincho"/>
        </w:rPr>
      </w:pPr>
    </w:p>
    <w:p w14:paraId="2FC3FA02" w14:textId="77777777" w:rsidR="00614586" w:rsidRPr="00E668E3" w:rsidRDefault="00614586" w:rsidP="00614586">
      <w:pPr>
        <w:pStyle w:val="Body"/>
        <w:rPr>
          <w:rFonts w:eastAsia="MS Mincho"/>
        </w:rPr>
      </w:pPr>
    </w:p>
    <w:p w14:paraId="0C5AEF0E" w14:textId="77777777" w:rsidR="00614586" w:rsidRPr="00E668E3" w:rsidRDefault="00614586" w:rsidP="00614586">
      <w:pPr>
        <w:pStyle w:val="Body"/>
        <w:rPr>
          <w:rFonts w:eastAsia="MS Mincho"/>
        </w:rPr>
      </w:pPr>
    </w:p>
    <w:p w14:paraId="179194C6" w14:textId="77777777" w:rsidR="00614586" w:rsidRPr="00E668E3" w:rsidRDefault="00614586" w:rsidP="00614586">
      <w:pPr>
        <w:pStyle w:val="Body"/>
        <w:rPr>
          <w:rFonts w:eastAsia="MS Mincho"/>
        </w:rPr>
      </w:pPr>
    </w:p>
    <w:p w14:paraId="47053B9B" w14:textId="77777777" w:rsidR="00614586" w:rsidRPr="00E668E3" w:rsidRDefault="00614586" w:rsidP="00614586">
      <w:pPr>
        <w:pStyle w:val="Body"/>
        <w:rPr>
          <w:rFonts w:eastAsia="MS Mincho"/>
        </w:rPr>
      </w:pPr>
    </w:p>
    <w:p w14:paraId="2ECC94AF" w14:textId="77777777" w:rsidR="00614586" w:rsidRDefault="00614586" w:rsidP="00614586">
      <w:pPr>
        <w:pStyle w:val="Body"/>
        <w:rPr>
          <w:rFonts w:eastAsia="MS Mincho"/>
        </w:rPr>
      </w:pPr>
    </w:p>
    <w:p w14:paraId="7970BC36" w14:textId="77777777" w:rsidR="00614586" w:rsidRDefault="00614586" w:rsidP="00614586">
      <w:pPr>
        <w:pStyle w:val="Body"/>
        <w:rPr>
          <w:rFonts w:eastAsia="MS Mincho"/>
        </w:rPr>
      </w:pPr>
    </w:p>
    <w:p w14:paraId="74F15E1F" w14:textId="77777777" w:rsidR="00614586" w:rsidRDefault="00614586" w:rsidP="00614586">
      <w:pPr>
        <w:pStyle w:val="Body"/>
        <w:rPr>
          <w:rFonts w:eastAsia="MS Mincho"/>
        </w:rPr>
      </w:pPr>
    </w:p>
    <w:p w14:paraId="6AB4CADD" w14:textId="77777777" w:rsidR="00614586" w:rsidRPr="00E668E3" w:rsidRDefault="00614586" w:rsidP="00614586">
      <w:pPr>
        <w:pStyle w:val="Body"/>
        <w:rPr>
          <w:rFonts w:eastAsia="MS Mincho"/>
        </w:rPr>
      </w:pPr>
    </w:p>
    <w:p w14:paraId="34D76703" w14:textId="77777777" w:rsidR="00614586" w:rsidRDefault="00614586" w:rsidP="00614586">
      <w:pPr>
        <w:spacing w:before="120" w:after="0" w:line="240" w:lineRule="auto"/>
        <w:rPr>
          <w:rFonts w:ascii="Arial" w:eastAsia="Times New Roman" w:hAnsi="Arial" w:cs="Arial"/>
          <w:sz w:val="24"/>
          <w:szCs w:val="24"/>
        </w:rPr>
      </w:pPr>
      <w:r w:rsidRPr="00DB3ADD">
        <w:rPr>
          <w:rFonts w:ascii="Arial" w:eastAsia="Times New Roman" w:hAnsi="Arial" w:cs="Arial"/>
          <w:noProof/>
          <w:sz w:val="24"/>
          <w:szCs w:val="24"/>
        </w:rPr>
        <w:drawing>
          <wp:inline distT="0" distB="0" distL="0" distR="0" wp14:anchorId="45A31531" wp14:editId="1C70E11A">
            <wp:extent cx="4019107" cy="149557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C_Full_Color_Logo_Print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9107" cy="1495572"/>
                    </a:xfrm>
                    <a:prstGeom prst="rect">
                      <a:avLst/>
                    </a:prstGeom>
                  </pic:spPr>
                </pic:pic>
              </a:graphicData>
            </a:graphic>
          </wp:inline>
        </w:drawing>
      </w:r>
    </w:p>
    <w:tbl>
      <w:tblPr>
        <w:tblStyle w:val="GridTable6Colorful-Accent11"/>
        <w:tblW w:w="9350" w:type="dxa"/>
        <w:tblInd w:w="15" w:type="dxa"/>
        <w:tblLayout w:type="fixed"/>
        <w:tblLook w:val="04A0" w:firstRow="1" w:lastRow="0" w:firstColumn="1" w:lastColumn="0" w:noHBand="0" w:noVBand="1"/>
        <w:tblCaption w:val=""/>
        <w:tblDescription w:val=""/>
      </w:tblPr>
      <w:tblGrid>
        <w:gridCol w:w="3235"/>
        <w:gridCol w:w="3045"/>
        <w:gridCol w:w="3070"/>
      </w:tblGrid>
      <w:tr w:rsidR="0076066A" w:rsidRPr="0076066A" w14:paraId="7530D3BF" w14:textId="77777777" w:rsidTr="00E2007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350" w:type="dxa"/>
            <w:gridSpan w:val="3"/>
            <w:tcMar>
              <w:top w:w="29" w:type="dxa"/>
              <w:bottom w:w="29" w:type="dxa"/>
            </w:tcMar>
          </w:tcPr>
          <w:p w14:paraId="44C5D95E" w14:textId="77777777" w:rsidR="00A03C62" w:rsidRPr="00000F1D" w:rsidRDefault="00A03C62" w:rsidP="00E20078">
            <w:pPr>
              <w:spacing w:before="120" w:after="120"/>
              <w:rPr>
                <w:rFonts w:ascii="Gill Sans MT" w:hAnsi="Gill Sans MT"/>
                <w:color w:val="auto"/>
                <w:sz w:val="32"/>
                <w:szCs w:val="24"/>
              </w:rPr>
            </w:pPr>
            <w:bookmarkStart w:id="1" w:name="_Hlk50042826"/>
            <w:bookmarkStart w:id="2" w:name="_Toc9527378"/>
            <w:bookmarkStart w:id="3" w:name="_Toc64012820"/>
            <w:bookmarkStart w:id="4" w:name="_Toc72932888"/>
            <w:r w:rsidRPr="0076066A">
              <w:rPr>
                <w:rFonts w:ascii="Gill Sans MT" w:hAnsi="Gill Sans MT"/>
                <w:sz w:val="32"/>
                <w:szCs w:val="24"/>
              </w:rPr>
              <w:lastRenderedPageBreak/>
              <w:br w:type="page"/>
            </w:r>
            <w:r w:rsidRPr="0076066A">
              <w:rPr>
                <w:rFonts w:ascii="Gill Sans MT" w:eastAsia="Arial" w:hAnsi="Gill Sans MT"/>
                <w:sz w:val="32"/>
                <w:szCs w:val="24"/>
              </w:rPr>
              <w:t>Writers and Contributors</w:t>
            </w:r>
          </w:p>
        </w:tc>
      </w:tr>
      <w:tr w:rsidR="00F76DFE" w:rsidRPr="00F76DFE" w14:paraId="20807D0E"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350" w:type="dxa"/>
            <w:gridSpan w:val="3"/>
            <w:tcMar>
              <w:top w:w="29" w:type="dxa"/>
              <w:bottom w:w="29" w:type="dxa"/>
            </w:tcMar>
          </w:tcPr>
          <w:p w14:paraId="6D38361A" w14:textId="77777777" w:rsidR="00A03C62" w:rsidRPr="00F76DFE" w:rsidRDefault="00A03C62" w:rsidP="00E20078">
            <w:pPr>
              <w:spacing w:after="200" w:line="276" w:lineRule="auto"/>
              <w:rPr>
                <w:rFonts w:ascii="Arial" w:eastAsia="Arial" w:hAnsi="Arial" w:cs="Arial"/>
                <w:color w:val="auto"/>
              </w:rPr>
            </w:pPr>
            <w:r w:rsidRPr="00F76DFE">
              <w:rPr>
                <w:rFonts w:ascii="Arial" w:eastAsia="Arial" w:hAnsi="Arial" w:cs="Arial"/>
                <w:color w:val="auto"/>
              </w:rPr>
              <w:t xml:space="preserve">Topic </w:t>
            </w:r>
          </w:p>
        </w:tc>
      </w:tr>
      <w:tr w:rsidR="00F76DFE" w:rsidRPr="00F76DFE" w14:paraId="71FF9AB1" w14:textId="77777777" w:rsidTr="00E20078">
        <w:trPr>
          <w:trHeight w:val="144"/>
        </w:trPr>
        <w:tc>
          <w:tcPr>
            <w:cnfStyle w:val="001000000000" w:firstRow="0" w:lastRow="0" w:firstColumn="1" w:lastColumn="0" w:oddVBand="0" w:evenVBand="0" w:oddHBand="0" w:evenHBand="0" w:firstRowFirstColumn="0" w:firstRowLastColumn="0" w:lastRowFirstColumn="0" w:lastRowLastColumn="0"/>
            <w:tcW w:w="3235" w:type="dxa"/>
            <w:tcMar>
              <w:top w:w="29" w:type="dxa"/>
              <w:bottom w:w="29" w:type="dxa"/>
            </w:tcMar>
          </w:tcPr>
          <w:p w14:paraId="7C4A546E" w14:textId="77777777" w:rsidR="00A03C62" w:rsidRPr="00F76DFE" w:rsidRDefault="00A03C62" w:rsidP="00E20078">
            <w:pPr>
              <w:spacing w:after="200" w:line="276" w:lineRule="auto"/>
              <w:rPr>
                <w:rFonts w:ascii="Arial" w:eastAsia="Calibri" w:hAnsi="Arial" w:cs="Arial"/>
                <w:color w:val="auto"/>
              </w:rPr>
            </w:pPr>
            <w:r w:rsidRPr="00F76DFE">
              <w:rPr>
                <w:rFonts w:ascii="Arial" w:eastAsia="Arial" w:hAnsi="Arial" w:cs="Arial"/>
                <w:color w:val="auto"/>
              </w:rPr>
              <w:t>Background</w:t>
            </w:r>
          </w:p>
        </w:tc>
        <w:tc>
          <w:tcPr>
            <w:tcW w:w="3045" w:type="dxa"/>
            <w:tcMar>
              <w:top w:w="29" w:type="dxa"/>
              <w:bottom w:w="29" w:type="dxa"/>
            </w:tcMar>
          </w:tcPr>
          <w:p w14:paraId="4A95F1B4"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Arial" w:hAnsi="Arial" w:cs="Arial"/>
                <w:b/>
                <w:color w:val="auto"/>
              </w:rPr>
              <w:t>Committee</w:t>
            </w:r>
          </w:p>
        </w:tc>
        <w:tc>
          <w:tcPr>
            <w:tcW w:w="3070" w:type="dxa"/>
            <w:tcMar>
              <w:top w:w="29" w:type="dxa"/>
              <w:bottom w:w="29" w:type="dxa"/>
            </w:tcMar>
          </w:tcPr>
          <w:p w14:paraId="75665609"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 xml:space="preserve"> </w:t>
            </w:r>
          </w:p>
        </w:tc>
      </w:tr>
      <w:tr w:rsidR="00F76DFE" w:rsidRPr="00F76DFE" w14:paraId="1D76BE98"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tcMar>
              <w:top w:w="29" w:type="dxa"/>
              <w:bottom w:w="29" w:type="dxa"/>
            </w:tcMar>
          </w:tcPr>
          <w:p w14:paraId="75DE6937" w14:textId="77777777" w:rsidR="00A03C62" w:rsidRPr="00F76DFE" w:rsidRDefault="00A03C62" w:rsidP="00E20078">
            <w:pPr>
              <w:spacing w:after="200" w:line="276" w:lineRule="auto"/>
              <w:rPr>
                <w:rFonts w:ascii="Arial" w:eastAsia="Calibri" w:hAnsi="Arial" w:cs="Arial"/>
                <w:color w:val="auto"/>
              </w:rPr>
            </w:pPr>
            <w:r w:rsidRPr="00F76DFE">
              <w:rPr>
                <w:rFonts w:ascii="Arial" w:eastAsia="Arial" w:hAnsi="Arial" w:cs="Arial"/>
                <w:color w:val="auto"/>
              </w:rPr>
              <w:t>Introduction</w:t>
            </w:r>
          </w:p>
        </w:tc>
        <w:tc>
          <w:tcPr>
            <w:tcW w:w="3045" w:type="dxa"/>
            <w:tcMar>
              <w:top w:w="29" w:type="dxa"/>
              <w:bottom w:w="29" w:type="dxa"/>
            </w:tcMar>
          </w:tcPr>
          <w:p w14:paraId="707758FD"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rPr>
            </w:pPr>
            <w:r w:rsidRPr="00F76DFE">
              <w:rPr>
                <w:rFonts w:ascii="Arial" w:eastAsia="Arial" w:hAnsi="Arial" w:cs="Arial"/>
                <w:b/>
                <w:color w:val="auto"/>
              </w:rPr>
              <w:t>Committee</w:t>
            </w:r>
          </w:p>
        </w:tc>
        <w:tc>
          <w:tcPr>
            <w:tcW w:w="3070" w:type="dxa"/>
            <w:tcMar>
              <w:top w:w="29" w:type="dxa"/>
              <w:bottom w:w="29" w:type="dxa"/>
            </w:tcMar>
          </w:tcPr>
          <w:p w14:paraId="2D9DE569"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p>
        </w:tc>
      </w:tr>
      <w:tr w:rsidR="00F76DFE" w:rsidRPr="00F76DFE" w14:paraId="0F80CCFB" w14:textId="77777777" w:rsidTr="00E20078">
        <w:trPr>
          <w:trHeight w:val="144"/>
        </w:trPr>
        <w:tc>
          <w:tcPr>
            <w:cnfStyle w:val="001000000000" w:firstRow="0" w:lastRow="0" w:firstColumn="1" w:lastColumn="0" w:oddVBand="0" w:evenVBand="0" w:oddHBand="0" w:evenHBand="0" w:firstRowFirstColumn="0" w:firstRowLastColumn="0" w:lastRowFirstColumn="0" w:lastRowLastColumn="0"/>
            <w:tcW w:w="3235" w:type="dxa"/>
            <w:tcMar>
              <w:top w:w="29" w:type="dxa"/>
              <w:bottom w:w="29" w:type="dxa"/>
            </w:tcMar>
          </w:tcPr>
          <w:p w14:paraId="6F7A91B3" w14:textId="77777777" w:rsidR="00A03C62" w:rsidRPr="00F76DFE" w:rsidRDefault="00A03C62" w:rsidP="00E20078">
            <w:pPr>
              <w:spacing w:after="200" w:line="276" w:lineRule="auto"/>
              <w:rPr>
                <w:rFonts w:ascii="Arial" w:eastAsia="Calibri" w:hAnsi="Arial" w:cs="Arial"/>
                <w:color w:val="auto"/>
              </w:rPr>
            </w:pPr>
            <w:r w:rsidRPr="00F76DFE">
              <w:rPr>
                <w:rFonts w:ascii="Arial" w:eastAsia="Arial" w:hAnsi="Arial" w:cs="Arial"/>
                <w:color w:val="auto"/>
              </w:rPr>
              <w:t>Key Guidance</w:t>
            </w:r>
          </w:p>
        </w:tc>
        <w:tc>
          <w:tcPr>
            <w:tcW w:w="3045" w:type="dxa"/>
            <w:tcMar>
              <w:top w:w="29" w:type="dxa"/>
              <w:bottom w:w="29" w:type="dxa"/>
            </w:tcMar>
          </w:tcPr>
          <w:p w14:paraId="4C3480FB"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Arial" w:hAnsi="Arial" w:cs="Arial"/>
                <w:b/>
                <w:color w:val="auto"/>
              </w:rPr>
              <w:t>Shannon Hansen, San Benito</w:t>
            </w:r>
          </w:p>
        </w:tc>
        <w:tc>
          <w:tcPr>
            <w:tcW w:w="3070" w:type="dxa"/>
            <w:tcMar>
              <w:top w:w="29" w:type="dxa"/>
              <w:bottom w:w="29" w:type="dxa"/>
            </w:tcMar>
          </w:tcPr>
          <w:p w14:paraId="1544E7E4"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Calibri" w:hAnsi="Arial"/>
                <w:b/>
                <w:color w:val="auto"/>
              </w:rPr>
              <w:t>Dean West, Orange</w:t>
            </w:r>
          </w:p>
        </w:tc>
      </w:tr>
      <w:tr w:rsidR="00F76DFE" w:rsidRPr="00F76DFE" w14:paraId="7F004274"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5B4460AB" w14:textId="39A66075" w:rsidR="00A03C62" w:rsidRPr="00F76DFE" w:rsidRDefault="00A03C62" w:rsidP="00E20078">
            <w:pPr>
              <w:spacing w:after="200" w:line="276" w:lineRule="auto"/>
              <w:rPr>
                <w:rFonts w:ascii="Arial" w:eastAsia="Arial" w:hAnsi="Arial" w:cs="Arial"/>
                <w:color w:val="auto"/>
              </w:rPr>
            </w:pPr>
            <w:r w:rsidRPr="00F76DFE">
              <w:rPr>
                <w:rFonts w:ascii="Arial" w:eastAsia="Calibri" w:hAnsi="Arial"/>
                <w:color w:val="auto"/>
              </w:rPr>
              <w:t xml:space="preserve">Governor’s 2021-22 </w:t>
            </w:r>
            <w:r w:rsidR="00DE54E1" w:rsidRPr="00F76DFE">
              <w:rPr>
                <w:rFonts w:ascii="Arial" w:eastAsia="Calibri" w:hAnsi="Arial"/>
                <w:color w:val="auto"/>
              </w:rPr>
              <w:t>Adopted Budget</w:t>
            </w:r>
          </w:p>
        </w:tc>
        <w:tc>
          <w:tcPr>
            <w:tcW w:w="3045" w:type="dxa"/>
            <w:shd w:val="clear" w:color="auto" w:fill="DEEAF6"/>
            <w:tcMar>
              <w:top w:w="29" w:type="dxa"/>
              <w:bottom w:w="29" w:type="dxa"/>
            </w:tcMar>
          </w:tcPr>
          <w:p w14:paraId="693D75C2"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 xml:space="preserve">Shannon Hansen, San Benito </w:t>
            </w:r>
          </w:p>
        </w:tc>
        <w:tc>
          <w:tcPr>
            <w:tcW w:w="3070" w:type="dxa"/>
            <w:shd w:val="clear" w:color="auto" w:fill="DEEAF6"/>
            <w:tcMar>
              <w:top w:w="29" w:type="dxa"/>
              <w:bottom w:w="29" w:type="dxa"/>
            </w:tcMar>
          </w:tcPr>
          <w:p w14:paraId="75DB740E"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Calibri" w:hAnsi="Arial"/>
                <w:b/>
                <w:color w:val="auto"/>
              </w:rPr>
              <w:t>Dean West, Orange</w:t>
            </w:r>
          </w:p>
        </w:tc>
      </w:tr>
      <w:tr w:rsidR="00F76DFE" w:rsidRPr="00F76DFE" w14:paraId="5E0F9476" w14:textId="77777777" w:rsidTr="00E20078">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480268A2" w14:textId="77777777" w:rsidR="00A03C62" w:rsidRPr="00F76DFE" w:rsidRDefault="00A03C62" w:rsidP="00E20078">
            <w:pPr>
              <w:spacing w:after="200" w:line="276" w:lineRule="auto"/>
              <w:rPr>
                <w:rFonts w:ascii="Arial" w:eastAsia="Arial" w:hAnsi="Arial" w:cs="Arial"/>
                <w:color w:val="auto"/>
              </w:rPr>
            </w:pPr>
            <w:r w:rsidRPr="00F76DFE">
              <w:rPr>
                <w:rFonts w:ascii="Arial" w:eastAsia="Arial" w:hAnsi="Arial" w:cs="Arial"/>
                <w:color w:val="auto"/>
              </w:rPr>
              <w:t>Independent Study</w:t>
            </w:r>
          </w:p>
        </w:tc>
        <w:tc>
          <w:tcPr>
            <w:tcW w:w="3045" w:type="dxa"/>
            <w:tcMar>
              <w:top w:w="29" w:type="dxa"/>
              <w:bottom w:w="29" w:type="dxa"/>
            </w:tcMar>
          </w:tcPr>
          <w:p w14:paraId="1F74D882"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Janet Riley, Merced</w:t>
            </w:r>
          </w:p>
        </w:tc>
        <w:tc>
          <w:tcPr>
            <w:tcW w:w="3070" w:type="dxa"/>
            <w:tcMar>
              <w:top w:w="29" w:type="dxa"/>
              <w:bottom w:w="29" w:type="dxa"/>
            </w:tcMar>
          </w:tcPr>
          <w:p w14:paraId="60A2BBE8"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Kate Lane, Marin</w:t>
            </w:r>
          </w:p>
        </w:tc>
      </w:tr>
      <w:tr w:rsidR="00F76DFE" w:rsidRPr="00F76DFE" w14:paraId="51C0702B"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tcPr>
          <w:p w14:paraId="16BF6343" w14:textId="77777777" w:rsidR="00A03C62" w:rsidRPr="00F76DFE" w:rsidRDefault="00A03C62" w:rsidP="00E20078">
            <w:pPr>
              <w:rPr>
                <w:rFonts w:ascii="Arial" w:eastAsia="Calibri" w:hAnsi="Arial" w:cs="Arial"/>
                <w:color w:val="auto"/>
              </w:rPr>
            </w:pPr>
            <w:r w:rsidRPr="00F76DFE">
              <w:rPr>
                <w:rFonts w:ascii="Arial" w:eastAsia="Arial" w:hAnsi="Arial" w:cs="Arial"/>
                <w:color w:val="auto"/>
              </w:rPr>
              <w:t>ESSER III</w:t>
            </w:r>
          </w:p>
        </w:tc>
        <w:tc>
          <w:tcPr>
            <w:tcW w:w="3045" w:type="dxa"/>
          </w:tcPr>
          <w:p w14:paraId="474FC680" w14:textId="77777777" w:rsidR="00A03C62" w:rsidRPr="00F76DFE" w:rsidRDefault="00A03C62" w:rsidP="00E20078">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rPr>
            </w:pPr>
            <w:r w:rsidRPr="00F76DFE">
              <w:rPr>
                <w:rFonts w:ascii="Arial" w:eastAsia="Arial" w:hAnsi="Arial" w:cs="Arial"/>
                <w:b/>
                <w:color w:val="auto"/>
              </w:rPr>
              <w:t>Priscilla Quinn, Kern</w:t>
            </w:r>
            <w:r w:rsidRPr="00F76DFE">
              <w:rPr>
                <w:rFonts w:ascii="Arial" w:eastAsia="Calibri" w:hAnsi="Arial" w:cs="Arial"/>
                <w:b/>
                <w:color w:val="auto"/>
              </w:rPr>
              <w:t xml:space="preserve"> </w:t>
            </w:r>
          </w:p>
        </w:tc>
        <w:tc>
          <w:tcPr>
            <w:tcW w:w="3070" w:type="dxa"/>
          </w:tcPr>
          <w:p w14:paraId="5A7EE913"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Mary Downey, Sonoma</w:t>
            </w:r>
          </w:p>
        </w:tc>
      </w:tr>
      <w:tr w:rsidR="00F76DFE" w:rsidRPr="00F76DFE" w14:paraId="593BA51B" w14:textId="77777777" w:rsidTr="00E20078">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5E9BFB89" w14:textId="77777777" w:rsidR="00A03C62" w:rsidRPr="00F76DFE" w:rsidRDefault="00A03C62" w:rsidP="00E20078">
            <w:pPr>
              <w:rPr>
                <w:rFonts w:ascii="Arial" w:eastAsia="Arial" w:hAnsi="Arial" w:cs="Arial"/>
                <w:color w:val="auto"/>
              </w:rPr>
            </w:pPr>
            <w:r w:rsidRPr="00F76DFE">
              <w:rPr>
                <w:rFonts w:ascii="Arial" w:eastAsia="Arial" w:hAnsi="Arial" w:cs="Arial"/>
                <w:color w:val="auto"/>
              </w:rPr>
              <w:t xml:space="preserve">Planning Factors/MYP </w:t>
            </w:r>
          </w:p>
        </w:tc>
        <w:tc>
          <w:tcPr>
            <w:tcW w:w="3045" w:type="dxa"/>
            <w:shd w:val="clear" w:color="auto" w:fill="auto"/>
            <w:tcMar>
              <w:top w:w="29" w:type="dxa"/>
              <w:bottom w:w="29" w:type="dxa"/>
            </w:tcMar>
          </w:tcPr>
          <w:p w14:paraId="210D8F69" w14:textId="77777777" w:rsidR="00A03C62" w:rsidRPr="00F76DFE" w:rsidDel="00AF69EA" w:rsidRDefault="00A03C62" w:rsidP="00E20078">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Shannon Hansen, San Benito</w:t>
            </w:r>
          </w:p>
        </w:tc>
        <w:tc>
          <w:tcPr>
            <w:tcW w:w="3070" w:type="dxa"/>
            <w:shd w:val="clear" w:color="auto" w:fill="auto"/>
            <w:tcMar>
              <w:top w:w="29" w:type="dxa"/>
              <w:bottom w:w="29" w:type="dxa"/>
            </w:tcMar>
          </w:tcPr>
          <w:p w14:paraId="2043846A"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Dean West, Orange</w:t>
            </w:r>
          </w:p>
        </w:tc>
      </w:tr>
      <w:tr w:rsidR="00F76DFE" w:rsidRPr="00F76DFE" w14:paraId="2B64E503"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6039EB67" w14:textId="77777777" w:rsidR="00A03C62" w:rsidRPr="00F76DFE" w:rsidRDefault="00A03C62" w:rsidP="00E20078">
            <w:pPr>
              <w:tabs>
                <w:tab w:val="right" w:pos="3119"/>
              </w:tabs>
              <w:rPr>
                <w:rFonts w:ascii="Arial" w:eastAsia="Arial" w:hAnsi="Arial" w:cs="Arial"/>
                <w:color w:val="auto"/>
              </w:rPr>
            </w:pPr>
            <w:r w:rsidRPr="00F76DFE">
              <w:rPr>
                <w:rFonts w:ascii="Arial" w:eastAsia="Arial" w:hAnsi="Arial" w:cs="Arial"/>
                <w:color w:val="auto"/>
              </w:rPr>
              <w:t xml:space="preserve">LCFF </w:t>
            </w:r>
          </w:p>
        </w:tc>
        <w:tc>
          <w:tcPr>
            <w:tcW w:w="3045" w:type="dxa"/>
            <w:shd w:val="clear" w:color="auto" w:fill="DEEAF6"/>
            <w:tcMar>
              <w:top w:w="29" w:type="dxa"/>
              <w:bottom w:w="29" w:type="dxa"/>
            </w:tcMar>
          </w:tcPr>
          <w:p w14:paraId="2908AC28" w14:textId="77777777" w:rsidR="00A03C62" w:rsidRPr="00F76DFE" w:rsidRDefault="00A03C62" w:rsidP="00E20078">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Kate Lane, Marin</w:t>
            </w:r>
          </w:p>
        </w:tc>
        <w:tc>
          <w:tcPr>
            <w:tcW w:w="3070" w:type="dxa"/>
            <w:shd w:val="clear" w:color="auto" w:fill="DEEAF6"/>
            <w:tcMar>
              <w:top w:w="29" w:type="dxa"/>
              <w:bottom w:w="29" w:type="dxa"/>
            </w:tcMar>
          </w:tcPr>
          <w:p w14:paraId="4CC136EC"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Michael Simonson, San Diego</w:t>
            </w:r>
          </w:p>
        </w:tc>
      </w:tr>
      <w:tr w:rsidR="00F76DFE" w:rsidRPr="00F76DFE" w14:paraId="38E21EB9" w14:textId="77777777" w:rsidTr="00E20078">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58B25F6F" w14:textId="77777777" w:rsidR="00A03C62" w:rsidRPr="00F76DFE" w:rsidRDefault="00A03C62" w:rsidP="00E20078">
            <w:pPr>
              <w:rPr>
                <w:rFonts w:ascii="Arial" w:eastAsia="Arial" w:hAnsi="Arial" w:cs="Arial"/>
                <w:color w:val="auto"/>
              </w:rPr>
            </w:pPr>
            <w:r w:rsidRPr="00F76DFE">
              <w:rPr>
                <w:rFonts w:ascii="Arial" w:eastAsia="Arial" w:hAnsi="Arial" w:cs="Arial"/>
                <w:color w:val="auto"/>
              </w:rPr>
              <w:t>LCAP</w:t>
            </w:r>
          </w:p>
        </w:tc>
        <w:tc>
          <w:tcPr>
            <w:tcW w:w="3045" w:type="dxa"/>
            <w:shd w:val="clear" w:color="auto" w:fill="auto"/>
            <w:tcMar>
              <w:top w:w="29" w:type="dxa"/>
              <w:bottom w:w="29" w:type="dxa"/>
            </w:tcMar>
          </w:tcPr>
          <w:p w14:paraId="4E03F9C5" w14:textId="77777777" w:rsidR="00A03C62" w:rsidRPr="00F76DFE" w:rsidRDefault="00A03C62" w:rsidP="00E20078">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Josh Schultz, Napa</w:t>
            </w:r>
          </w:p>
        </w:tc>
        <w:tc>
          <w:tcPr>
            <w:tcW w:w="3070" w:type="dxa"/>
            <w:shd w:val="clear" w:color="auto" w:fill="auto"/>
            <w:tcMar>
              <w:top w:w="29" w:type="dxa"/>
              <w:bottom w:w="29" w:type="dxa"/>
            </w:tcMar>
          </w:tcPr>
          <w:p w14:paraId="0991C93F"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Nick Schweizer, Sacramento</w:t>
            </w:r>
          </w:p>
        </w:tc>
      </w:tr>
      <w:tr w:rsidR="00F76DFE" w:rsidRPr="00F76DFE" w14:paraId="11C94B25" w14:textId="77777777" w:rsidTr="00D3251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9E2F3" w:themeFill="accent1" w:themeFillTint="33"/>
            <w:tcMar>
              <w:top w:w="29" w:type="dxa"/>
              <w:bottom w:w="29" w:type="dxa"/>
            </w:tcMar>
          </w:tcPr>
          <w:p w14:paraId="2E9F2F21" w14:textId="77777777" w:rsidR="00A03C62" w:rsidRPr="00F76DFE" w:rsidRDefault="00A03C62" w:rsidP="00E20078">
            <w:pPr>
              <w:rPr>
                <w:rFonts w:ascii="Arial" w:eastAsia="Arial" w:hAnsi="Arial" w:cs="Arial"/>
                <w:color w:val="auto"/>
              </w:rPr>
            </w:pPr>
            <w:r w:rsidRPr="00F76DFE">
              <w:rPr>
                <w:rFonts w:ascii="Arial" w:eastAsia="Arial" w:hAnsi="Arial" w:cs="Arial"/>
                <w:color w:val="auto"/>
              </w:rPr>
              <w:t>Special Education</w:t>
            </w:r>
          </w:p>
        </w:tc>
        <w:tc>
          <w:tcPr>
            <w:tcW w:w="3045" w:type="dxa"/>
            <w:shd w:val="clear" w:color="auto" w:fill="D9E2F3" w:themeFill="accent1" w:themeFillTint="33"/>
            <w:tcMar>
              <w:top w:w="29" w:type="dxa"/>
              <w:bottom w:w="29" w:type="dxa"/>
            </w:tcMar>
          </w:tcPr>
          <w:p w14:paraId="2BDFE054" w14:textId="77777777" w:rsidR="00A03C62" w:rsidRPr="00F76DFE" w:rsidRDefault="00A03C62" w:rsidP="00E20078">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Scott Anderson, San Joaquin</w:t>
            </w:r>
          </w:p>
        </w:tc>
        <w:tc>
          <w:tcPr>
            <w:tcW w:w="3070" w:type="dxa"/>
            <w:shd w:val="clear" w:color="auto" w:fill="D9E2F3" w:themeFill="accent1" w:themeFillTint="33"/>
            <w:tcMar>
              <w:top w:w="29" w:type="dxa"/>
              <w:bottom w:w="29" w:type="dxa"/>
            </w:tcMar>
          </w:tcPr>
          <w:p w14:paraId="46ADBA1A"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Priscilla Quinn, Kern</w:t>
            </w:r>
          </w:p>
        </w:tc>
      </w:tr>
      <w:tr w:rsidR="00F76DFE" w:rsidRPr="00F76DFE" w14:paraId="2B81EDE9" w14:textId="77777777" w:rsidTr="00D32518">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725479CB" w14:textId="77777777" w:rsidR="00A03C62" w:rsidRPr="00F76DFE" w:rsidRDefault="00A03C62" w:rsidP="00E20078">
            <w:pPr>
              <w:rPr>
                <w:rFonts w:ascii="Arial" w:eastAsia="Arial" w:hAnsi="Arial" w:cs="Arial"/>
                <w:color w:val="auto"/>
              </w:rPr>
            </w:pPr>
            <w:r w:rsidRPr="00F76DFE">
              <w:rPr>
                <w:rFonts w:ascii="Arial" w:eastAsia="Arial" w:hAnsi="Arial" w:cs="Arial"/>
                <w:color w:val="auto"/>
              </w:rPr>
              <w:t>Cash Flow / Deferrals</w:t>
            </w:r>
          </w:p>
        </w:tc>
        <w:tc>
          <w:tcPr>
            <w:tcW w:w="3045" w:type="dxa"/>
            <w:shd w:val="clear" w:color="auto" w:fill="auto"/>
            <w:tcMar>
              <w:top w:w="29" w:type="dxa"/>
              <w:bottom w:w="29" w:type="dxa"/>
            </w:tcMar>
          </w:tcPr>
          <w:p w14:paraId="2DD15928" w14:textId="77777777" w:rsidR="00A03C62" w:rsidRPr="00F76DFE" w:rsidRDefault="00A03C62" w:rsidP="00E20078">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Misty Key, Ventura</w:t>
            </w:r>
          </w:p>
        </w:tc>
        <w:tc>
          <w:tcPr>
            <w:tcW w:w="3070" w:type="dxa"/>
            <w:shd w:val="clear" w:color="auto" w:fill="auto"/>
            <w:tcMar>
              <w:top w:w="29" w:type="dxa"/>
              <w:bottom w:w="29" w:type="dxa"/>
            </w:tcMar>
          </w:tcPr>
          <w:p w14:paraId="53562979"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Denise Porterfield, San Mateo</w:t>
            </w:r>
          </w:p>
        </w:tc>
      </w:tr>
      <w:tr w:rsidR="00F76DFE" w:rsidRPr="00F76DFE" w14:paraId="0E4222E6" w14:textId="77777777" w:rsidTr="00D3251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9E2F3" w:themeFill="accent1" w:themeFillTint="33"/>
            <w:tcMar>
              <w:top w:w="29" w:type="dxa"/>
              <w:bottom w:w="29" w:type="dxa"/>
            </w:tcMar>
          </w:tcPr>
          <w:p w14:paraId="3290CD26" w14:textId="77777777" w:rsidR="00A03C62" w:rsidRPr="00F76DFE" w:rsidRDefault="00A03C62" w:rsidP="00E20078">
            <w:pPr>
              <w:rPr>
                <w:rFonts w:ascii="Arial" w:eastAsia="Arial" w:hAnsi="Arial" w:cs="Arial"/>
                <w:color w:val="auto"/>
              </w:rPr>
            </w:pPr>
            <w:r w:rsidRPr="00F76DFE">
              <w:rPr>
                <w:rFonts w:ascii="Arial" w:eastAsia="Arial" w:hAnsi="Arial" w:cs="Arial"/>
                <w:color w:val="auto"/>
              </w:rPr>
              <w:t>Reserves / Reserve Cap</w:t>
            </w:r>
          </w:p>
        </w:tc>
        <w:tc>
          <w:tcPr>
            <w:tcW w:w="3045" w:type="dxa"/>
            <w:shd w:val="clear" w:color="auto" w:fill="D9E2F3" w:themeFill="accent1" w:themeFillTint="33"/>
            <w:tcMar>
              <w:top w:w="29" w:type="dxa"/>
              <w:bottom w:w="29" w:type="dxa"/>
            </w:tcMar>
          </w:tcPr>
          <w:p w14:paraId="781B0BE9" w14:textId="77777777" w:rsidR="00A03C62" w:rsidRPr="00F76DFE" w:rsidDel="00AF69EA" w:rsidRDefault="00A03C62" w:rsidP="00E20078">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Colleen Stanley, Monterey</w:t>
            </w:r>
          </w:p>
        </w:tc>
        <w:tc>
          <w:tcPr>
            <w:tcW w:w="3070" w:type="dxa"/>
            <w:shd w:val="clear" w:color="auto" w:fill="D9E2F3" w:themeFill="accent1" w:themeFillTint="33"/>
            <w:tcMar>
              <w:top w:w="29" w:type="dxa"/>
              <w:bottom w:w="29" w:type="dxa"/>
            </w:tcMar>
          </w:tcPr>
          <w:p w14:paraId="40A4D312"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Calibri" w:hAnsi="Arial" w:cs="Arial"/>
                <w:b/>
                <w:color w:val="auto"/>
              </w:rPr>
              <w:t>Liann Reyes, Santa Cruz</w:t>
            </w:r>
          </w:p>
        </w:tc>
      </w:tr>
      <w:tr w:rsidR="00F76DFE" w:rsidRPr="00F76DFE" w14:paraId="6CEA70E7" w14:textId="77777777" w:rsidTr="00E20078">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036D4264" w14:textId="77777777" w:rsidR="00A03C62" w:rsidRPr="00F76DFE" w:rsidRDefault="00A03C62" w:rsidP="00E20078">
            <w:pPr>
              <w:rPr>
                <w:rFonts w:ascii="Arial" w:eastAsia="Arial" w:hAnsi="Arial" w:cs="Arial"/>
                <w:color w:val="auto"/>
              </w:rPr>
            </w:pPr>
            <w:r w:rsidRPr="00F76DFE">
              <w:rPr>
                <w:rFonts w:ascii="Arial" w:eastAsia="Arial" w:hAnsi="Arial" w:cs="Arial"/>
                <w:color w:val="auto"/>
              </w:rPr>
              <w:t>One-Time Funding</w:t>
            </w:r>
          </w:p>
        </w:tc>
        <w:tc>
          <w:tcPr>
            <w:tcW w:w="3045" w:type="dxa"/>
            <w:shd w:val="clear" w:color="auto" w:fill="auto"/>
            <w:tcMar>
              <w:top w:w="29" w:type="dxa"/>
              <w:bottom w:w="29" w:type="dxa"/>
            </w:tcMar>
          </w:tcPr>
          <w:p w14:paraId="1198BABE" w14:textId="77777777" w:rsidR="00A03C62" w:rsidRPr="00F76DFE" w:rsidDel="00AF69EA" w:rsidRDefault="00A03C62" w:rsidP="00E20078">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Michael Simonson, San Diego</w:t>
            </w:r>
          </w:p>
        </w:tc>
        <w:tc>
          <w:tcPr>
            <w:tcW w:w="3070" w:type="dxa"/>
            <w:shd w:val="clear" w:color="auto" w:fill="auto"/>
            <w:tcMar>
              <w:top w:w="29" w:type="dxa"/>
              <w:bottom w:w="29" w:type="dxa"/>
            </w:tcMar>
          </w:tcPr>
          <w:p w14:paraId="2B40B848" w14:textId="77777777" w:rsidR="00A03C62" w:rsidRPr="00F76DFE" w:rsidRDefault="00A03C62"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Calibri" w:hAnsi="Arial" w:cs="Arial"/>
                <w:b/>
                <w:color w:val="auto"/>
              </w:rPr>
              <w:t>Mary Downey, Sonoma</w:t>
            </w:r>
          </w:p>
        </w:tc>
      </w:tr>
      <w:tr w:rsidR="00F76DFE" w:rsidRPr="00F76DFE" w14:paraId="23EB7EA8"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4F210A72" w14:textId="77777777" w:rsidR="00D32518" w:rsidRPr="00F76DFE" w:rsidRDefault="00D32518" w:rsidP="00E20078">
            <w:pPr>
              <w:rPr>
                <w:rFonts w:ascii="Arial" w:eastAsia="Arial" w:hAnsi="Arial" w:cs="Arial"/>
                <w:color w:val="auto"/>
              </w:rPr>
            </w:pPr>
            <w:r w:rsidRPr="00F76DFE">
              <w:rPr>
                <w:rFonts w:ascii="Arial" w:eastAsia="Arial" w:hAnsi="Arial" w:cs="Arial"/>
                <w:color w:val="auto"/>
              </w:rPr>
              <w:t>Universal School Meals</w:t>
            </w:r>
          </w:p>
        </w:tc>
        <w:tc>
          <w:tcPr>
            <w:tcW w:w="3045" w:type="dxa"/>
            <w:shd w:val="clear" w:color="auto" w:fill="DEEAF6"/>
            <w:tcMar>
              <w:top w:w="29" w:type="dxa"/>
              <w:bottom w:w="29" w:type="dxa"/>
            </w:tcMar>
          </w:tcPr>
          <w:p w14:paraId="419A8B42" w14:textId="77777777" w:rsidR="00D32518" w:rsidRPr="00F76DFE" w:rsidDel="00AF69EA" w:rsidRDefault="00D32518" w:rsidP="00E20078">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Dean West, Orange</w:t>
            </w:r>
          </w:p>
        </w:tc>
        <w:tc>
          <w:tcPr>
            <w:tcW w:w="3070" w:type="dxa"/>
            <w:shd w:val="clear" w:color="auto" w:fill="DEEAF6"/>
            <w:tcMar>
              <w:top w:w="29" w:type="dxa"/>
              <w:bottom w:w="29" w:type="dxa"/>
            </w:tcMar>
          </w:tcPr>
          <w:p w14:paraId="60DD46A1" w14:textId="77777777" w:rsidR="00D32518" w:rsidRPr="00F76DFE" w:rsidRDefault="00D32518"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Calibri" w:hAnsi="Arial" w:cs="Arial"/>
                <w:b/>
                <w:color w:val="auto"/>
              </w:rPr>
              <w:t>Shannon Hansen, San Benito</w:t>
            </w:r>
          </w:p>
        </w:tc>
      </w:tr>
      <w:tr w:rsidR="00F76DFE" w:rsidRPr="00F76DFE" w14:paraId="695D7451" w14:textId="77777777" w:rsidTr="00D32518">
        <w:trPr>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auto"/>
            <w:tcMar>
              <w:top w:w="29" w:type="dxa"/>
              <w:bottom w:w="29" w:type="dxa"/>
            </w:tcMar>
          </w:tcPr>
          <w:p w14:paraId="32740E8F" w14:textId="77777777" w:rsidR="00D32518" w:rsidRPr="00F76DFE" w:rsidRDefault="00D32518" w:rsidP="00E20078">
            <w:pPr>
              <w:rPr>
                <w:rFonts w:ascii="Arial" w:eastAsia="Arial" w:hAnsi="Arial" w:cs="Arial"/>
                <w:color w:val="auto"/>
              </w:rPr>
            </w:pPr>
            <w:r w:rsidRPr="00F76DFE">
              <w:rPr>
                <w:rFonts w:ascii="Arial" w:eastAsia="Arial" w:hAnsi="Arial" w:cs="Arial"/>
                <w:color w:val="auto"/>
              </w:rPr>
              <w:t>Early Childhood Education</w:t>
            </w:r>
          </w:p>
        </w:tc>
        <w:tc>
          <w:tcPr>
            <w:tcW w:w="3045" w:type="dxa"/>
            <w:shd w:val="clear" w:color="auto" w:fill="auto"/>
            <w:tcMar>
              <w:top w:w="29" w:type="dxa"/>
              <w:bottom w:w="29" w:type="dxa"/>
            </w:tcMar>
          </w:tcPr>
          <w:p w14:paraId="295F3FBE" w14:textId="77777777" w:rsidR="00D32518" w:rsidRPr="00F76DFE" w:rsidRDefault="00D32518" w:rsidP="00E20078">
            <w:pP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rPr>
            </w:pPr>
            <w:r w:rsidRPr="00F76DFE">
              <w:rPr>
                <w:rFonts w:ascii="Arial" w:eastAsia="Calibri" w:hAnsi="Arial" w:cs="Arial"/>
                <w:b/>
                <w:color w:val="auto"/>
              </w:rPr>
              <w:t>Fernie Marroquin, Tulare</w:t>
            </w:r>
          </w:p>
        </w:tc>
        <w:tc>
          <w:tcPr>
            <w:tcW w:w="3070" w:type="dxa"/>
            <w:shd w:val="clear" w:color="auto" w:fill="auto"/>
            <w:tcMar>
              <w:top w:w="29" w:type="dxa"/>
              <w:bottom w:w="29" w:type="dxa"/>
            </w:tcMar>
          </w:tcPr>
          <w:p w14:paraId="461D33EA" w14:textId="77777777" w:rsidR="00D32518" w:rsidRPr="00F76DFE" w:rsidRDefault="00D32518" w:rsidP="00E20078">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Janet Riley, Merced</w:t>
            </w:r>
          </w:p>
        </w:tc>
      </w:tr>
      <w:tr w:rsidR="00F76DFE" w:rsidRPr="00F76DFE" w14:paraId="529A53EC" w14:textId="77777777" w:rsidTr="00E200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35" w:type="dxa"/>
            <w:shd w:val="clear" w:color="auto" w:fill="DEEAF6"/>
            <w:tcMar>
              <w:top w:w="29" w:type="dxa"/>
              <w:bottom w:w="29" w:type="dxa"/>
            </w:tcMar>
          </w:tcPr>
          <w:p w14:paraId="78FA4A72" w14:textId="77777777" w:rsidR="00A03C62" w:rsidRPr="00F76DFE" w:rsidRDefault="00A03C62" w:rsidP="00E20078">
            <w:pPr>
              <w:spacing w:after="200" w:line="276" w:lineRule="auto"/>
              <w:rPr>
                <w:rFonts w:ascii="Arial" w:eastAsia="Arial" w:hAnsi="Arial" w:cs="Arial"/>
                <w:color w:val="auto"/>
              </w:rPr>
            </w:pPr>
            <w:r w:rsidRPr="00F76DFE">
              <w:rPr>
                <w:rFonts w:ascii="Arial" w:eastAsia="Arial" w:hAnsi="Arial" w:cs="Arial"/>
                <w:color w:val="auto"/>
              </w:rPr>
              <w:t>Summary</w:t>
            </w:r>
          </w:p>
        </w:tc>
        <w:tc>
          <w:tcPr>
            <w:tcW w:w="3045" w:type="dxa"/>
            <w:shd w:val="clear" w:color="auto" w:fill="DEEAF6"/>
            <w:tcMar>
              <w:top w:w="29" w:type="dxa"/>
              <w:bottom w:w="29" w:type="dxa"/>
            </w:tcMar>
          </w:tcPr>
          <w:p w14:paraId="3506F36C"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Shannon Hansen, San Benito</w:t>
            </w:r>
          </w:p>
        </w:tc>
        <w:tc>
          <w:tcPr>
            <w:tcW w:w="3070" w:type="dxa"/>
            <w:shd w:val="clear" w:color="auto" w:fill="DEEAF6"/>
            <w:tcMar>
              <w:top w:w="29" w:type="dxa"/>
              <w:bottom w:w="29" w:type="dxa"/>
            </w:tcMar>
          </w:tcPr>
          <w:p w14:paraId="66B54163" w14:textId="77777777" w:rsidR="00A03C62" w:rsidRPr="00F76DFE" w:rsidRDefault="00A03C62" w:rsidP="00E2007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rPr>
            </w:pPr>
            <w:r w:rsidRPr="00F76DFE">
              <w:rPr>
                <w:rFonts w:ascii="Arial" w:eastAsia="Arial" w:hAnsi="Arial" w:cs="Arial"/>
                <w:b/>
                <w:color w:val="auto"/>
              </w:rPr>
              <w:t>Dean West, Orange</w:t>
            </w:r>
          </w:p>
        </w:tc>
      </w:tr>
      <w:bookmarkEnd w:id="1"/>
    </w:tbl>
    <w:p w14:paraId="5B823C3A" w14:textId="1DDA5446" w:rsidR="00A55B61" w:rsidRDefault="00A55B61" w:rsidP="00614586">
      <w:pPr>
        <w:pStyle w:val="Headline2"/>
      </w:pPr>
    </w:p>
    <w:p w14:paraId="5BDFD413" w14:textId="77777777" w:rsidR="00A55B61" w:rsidRDefault="00A55B61">
      <w:pPr>
        <w:rPr>
          <w:rFonts w:ascii="Gill Sans MT" w:eastAsia="Times New Roman" w:hAnsi="Gill Sans MT" w:cs="Times New Roman"/>
          <w:b/>
          <w:sz w:val="40"/>
          <w:szCs w:val="24"/>
        </w:rPr>
      </w:pPr>
      <w:r>
        <w:br w:type="page"/>
      </w:r>
    </w:p>
    <w:p w14:paraId="5DF28244" w14:textId="7EBEA1C0" w:rsidR="00614586" w:rsidRPr="00445118" w:rsidRDefault="00614586" w:rsidP="00614586">
      <w:pPr>
        <w:pStyle w:val="Headline2"/>
      </w:pPr>
      <w:bookmarkStart w:id="5" w:name="_Toc77836537"/>
      <w:bookmarkStart w:id="6" w:name="_Toc77838779"/>
      <w:bookmarkStart w:id="7" w:name="_Toc77843044"/>
      <w:r w:rsidRPr="00445118">
        <w:lastRenderedPageBreak/>
        <w:t>Sources</w:t>
      </w:r>
      <w:bookmarkEnd w:id="2"/>
      <w:bookmarkEnd w:id="3"/>
      <w:bookmarkEnd w:id="4"/>
      <w:bookmarkEnd w:id="5"/>
      <w:bookmarkEnd w:id="6"/>
      <w:bookmarkEnd w:id="7"/>
    </w:p>
    <w:tbl>
      <w:tblPr>
        <w:tblStyle w:val="GridTable6Colorful-Accent11"/>
        <w:tblW w:w="0" w:type="auto"/>
        <w:tblLook w:val="04A0" w:firstRow="1" w:lastRow="0" w:firstColumn="1" w:lastColumn="0" w:noHBand="0" w:noVBand="1"/>
      </w:tblPr>
      <w:tblGrid>
        <w:gridCol w:w="9350"/>
      </w:tblGrid>
      <w:tr w:rsidR="00614586" w:rsidRPr="00BD78C5" w14:paraId="2AB74AA7" w14:textId="77777777" w:rsidTr="00E20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7C4D89" w14:textId="77777777" w:rsidR="00614586" w:rsidRPr="006041A7" w:rsidRDefault="00614586" w:rsidP="00E20078">
            <w:pPr>
              <w:pStyle w:val="sourcestext"/>
            </w:pPr>
            <w:r w:rsidRPr="006041A7">
              <w:rPr>
                <w:b/>
                <w:bCs/>
              </w:rPr>
              <w:t>Association of California School Administrators</w:t>
            </w:r>
          </w:p>
        </w:tc>
      </w:tr>
      <w:tr w:rsidR="00614586" w:rsidRPr="00BD78C5" w14:paraId="237DC2A6"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B79FE4" w14:textId="77777777" w:rsidR="00614586" w:rsidRPr="006041A7" w:rsidRDefault="00614586" w:rsidP="00E20078">
            <w:pPr>
              <w:pStyle w:val="sourcestext"/>
            </w:pPr>
            <w:r w:rsidRPr="006041A7">
              <w:rPr>
                <w:b/>
                <w:bCs/>
              </w:rPr>
              <w:t>Ball / Frost Group, LLC</w:t>
            </w:r>
          </w:p>
        </w:tc>
      </w:tr>
      <w:tr w:rsidR="00614586" w:rsidRPr="00BD78C5" w14:paraId="0326DA77"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2AA12576" w14:textId="77777777" w:rsidR="00614586" w:rsidRPr="006041A7" w:rsidRDefault="00614586" w:rsidP="00E20078">
            <w:pPr>
              <w:pStyle w:val="sourcestext"/>
            </w:pPr>
            <w:r w:rsidRPr="006041A7">
              <w:rPr>
                <w:b/>
                <w:bCs/>
              </w:rPr>
              <w:t>Bob Blattner and Associates</w:t>
            </w:r>
          </w:p>
        </w:tc>
      </w:tr>
      <w:tr w:rsidR="00614586" w:rsidRPr="00BD78C5" w14:paraId="4C21C095"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97BC5C" w14:textId="77777777" w:rsidR="00614586" w:rsidRPr="006041A7" w:rsidRDefault="00614586" w:rsidP="00E20078">
            <w:pPr>
              <w:pStyle w:val="sourcestext"/>
            </w:pPr>
            <w:r w:rsidRPr="006041A7">
              <w:rPr>
                <w:b/>
                <w:bCs/>
              </w:rPr>
              <w:t>Bob Canavan, Federal Management Strategies</w:t>
            </w:r>
          </w:p>
        </w:tc>
      </w:tr>
      <w:tr w:rsidR="00614586" w:rsidRPr="00BD78C5" w14:paraId="223149E2"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45E5F693" w14:textId="77777777" w:rsidR="00614586" w:rsidRPr="006041A7" w:rsidRDefault="00614586" w:rsidP="00E20078">
            <w:pPr>
              <w:pStyle w:val="sourcestext"/>
            </w:pPr>
            <w:r w:rsidRPr="006041A7">
              <w:rPr>
                <w:b/>
                <w:bCs/>
              </w:rPr>
              <w:t>California Association of School Business Officials</w:t>
            </w:r>
          </w:p>
        </w:tc>
      </w:tr>
      <w:tr w:rsidR="00614586" w:rsidRPr="00BD78C5" w14:paraId="1A80B708"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EC2CD4" w14:textId="77777777" w:rsidR="00614586" w:rsidRPr="006041A7" w:rsidRDefault="00614586" w:rsidP="00E20078">
            <w:pPr>
              <w:pStyle w:val="sourcestext"/>
            </w:pPr>
            <w:r w:rsidRPr="006041A7">
              <w:rPr>
                <w:b/>
                <w:bCs/>
              </w:rPr>
              <w:t>California Collaborative for Educational Excellence</w:t>
            </w:r>
          </w:p>
        </w:tc>
      </w:tr>
      <w:tr w:rsidR="00614586" w:rsidRPr="00BD78C5" w14:paraId="5EF258B6"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56FA649A" w14:textId="77777777" w:rsidR="00614586" w:rsidRPr="006041A7" w:rsidRDefault="00614586" w:rsidP="00E20078">
            <w:pPr>
              <w:pStyle w:val="sourcestext"/>
            </w:pPr>
            <w:r w:rsidRPr="006041A7">
              <w:rPr>
                <w:b/>
                <w:bCs/>
              </w:rPr>
              <w:t>California Department of Education</w:t>
            </w:r>
          </w:p>
        </w:tc>
      </w:tr>
      <w:tr w:rsidR="00614586" w:rsidRPr="00BD78C5" w14:paraId="0EBD2B3D"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42261F" w14:textId="77777777" w:rsidR="00614586" w:rsidRPr="006041A7" w:rsidRDefault="00614586" w:rsidP="00E20078">
            <w:pPr>
              <w:pStyle w:val="sourcestext"/>
            </w:pPr>
            <w:r w:rsidRPr="006041A7">
              <w:rPr>
                <w:b/>
                <w:bCs/>
              </w:rPr>
              <w:t>California Department of Finance</w:t>
            </w:r>
          </w:p>
        </w:tc>
      </w:tr>
      <w:tr w:rsidR="00614586" w:rsidRPr="00BD78C5" w14:paraId="7E7551B4"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0A306A93" w14:textId="77777777" w:rsidR="00614586" w:rsidRPr="006041A7" w:rsidRDefault="00614586" w:rsidP="00E20078">
            <w:pPr>
              <w:pStyle w:val="sourcestext"/>
            </w:pPr>
            <w:r w:rsidRPr="006041A7">
              <w:rPr>
                <w:b/>
                <w:bCs/>
              </w:rPr>
              <w:t>California Public Employees’ Retirement System</w:t>
            </w:r>
          </w:p>
        </w:tc>
      </w:tr>
      <w:tr w:rsidR="00614586" w:rsidRPr="00BD78C5" w14:paraId="3F297424"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5CC7174" w14:textId="77777777" w:rsidR="00614586" w:rsidRPr="006041A7" w:rsidRDefault="00614586" w:rsidP="00E20078">
            <w:pPr>
              <w:pStyle w:val="sourcestext"/>
            </w:pPr>
            <w:r w:rsidRPr="006041A7">
              <w:rPr>
                <w:b/>
                <w:bCs/>
              </w:rPr>
              <w:t>California State Teachers’ Retirement System</w:t>
            </w:r>
          </w:p>
        </w:tc>
      </w:tr>
      <w:tr w:rsidR="00614586" w:rsidRPr="00BD78C5" w14:paraId="60D649D7"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34594C71" w14:textId="77777777" w:rsidR="00614586" w:rsidRPr="006041A7" w:rsidRDefault="00614586" w:rsidP="00E20078">
            <w:pPr>
              <w:pStyle w:val="sourcestext"/>
            </w:pPr>
            <w:r w:rsidRPr="006041A7">
              <w:rPr>
                <w:b/>
                <w:bCs/>
              </w:rPr>
              <w:t>California State Board of Education</w:t>
            </w:r>
          </w:p>
        </w:tc>
      </w:tr>
      <w:tr w:rsidR="00614586" w:rsidRPr="00BD78C5" w14:paraId="5F76C55C"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DB9F30" w14:textId="77777777" w:rsidR="00614586" w:rsidRPr="006041A7" w:rsidRDefault="00614586" w:rsidP="00E20078">
            <w:pPr>
              <w:pStyle w:val="sourcestext"/>
            </w:pPr>
            <w:r w:rsidRPr="006041A7">
              <w:rPr>
                <w:b/>
                <w:bCs/>
              </w:rPr>
              <w:t>California School Boards Association</w:t>
            </w:r>
          </w:p>
        </w:tc>
      </w:tr>
      <w:tr w:rsidR="00614586" w:rsidRPr="00BD78C5" w14:paraId="07A4B4A3"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6A7E3ADA" w14:textId="77777777" w:rsidR="00614586" w:rsidRPr="006041A7" w:rsidRDefault="00614586" w:rsidP="00E20078">
            <w:pPr>
              <w:pStyle w:val="sourcestext"/>
            </w:pPr>
            <w:r w:rsidRPr="006041A7">
              <w:rPr>
                <w:b/>
                <w:bCs/>
              </w:rPr>
              <w:t>California School Information Services</w:t>
            </w:r>
          </w:p>
        </w:tc>
      </w:tr>
      <w:tr w:rsidR="00614586" w:rsidRPr="00BD78C5" w14:paraId="5CED2AC0"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B272DB" w14:textId="77777777" w:rsidR="00614586" w:rsidRPr="006041A7" w:rsidRDefault="00614586" w:rsidP="00E20078">
            <w:pPr>
              <w:pStyle w:val="sourcestext"/>
            </w:pPr>
            <w:r w:rsidRPr="006041A7">
              <w:rPr>
                <w:b/>
                <w:bCs/>
              </w:rPr>
              <w:t>Capitol Advisors</w:t>
            </w:r>
          </w:p>
        </w:tc>
      </w:tr>
      <w:tr w:rsidR="00614586" w:rsidRPr="00BD78C5" w14:paraId="0E448ACD"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118DF6DF" w14:textId="77777777" w:rsidR="00614586" w:rsidRPr="006041A7" w:rsidRDefault="00614586" w:rsidP="00E20078">
            <w:pPr>
              <w:pStyle w:val="sourcestext"/>
            </w:pPr>
            <w:r w:rsidRPr="006041A7">
              <w:rPr>
                <w:b/>
                <w:bCs/>
              </w:rPr>
              <w:t>Fiscal Crisis and Management Assistance Team</w:t>
            </w:r>
          </w:p>
        </w:tc>
      </w:tr>
      <w:tr w:rsidR="00614586" w:rsidRPr="00BD78C5" w14:paraId="324E9523"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68DA061" w14:textId="77777777" w:rsidR="00614586" w:rsidRPr="006041A7" w:rsidRDefault="00614586" w:rsidP="00E20078">
            <w:pPr>
              <w:pStyle w:val="sourcestext"/>
            </w:pPr>
            <w:r w:rsidRPr="006041A7">
              <w:rPr>
                <w:b/>
                <w:bCs/>
              </w:rPr>
              <w:t>K-12 High Speed Network</w:t>
            </w:r>
          </w:p>
        </w:tc>
      </w:tr>
      <w:tr w:rsidR="00614586" w:rsidRPr="00BD78C5" w14:paraId="4C74EB3A"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0BBC28C6" w14:textId="77777777" w:rsidR="00614586" w:rsidRPr="006041A7" w:rsidRDefault="00614586" w:rsidP="00E20078">
            <w:pPr>
              <w:pStyle w:val="sourcestext"/>
            </w:pPr>
            <w:r w:rsidRPr="006041A7">
              <w:rPr>
                <w:b/>
                <w:bCs/>
              </w:rPr>
              <w:t>Michael Hulsizer, Chief Deputy Governmental Affairs, Kern County Superintendent of Schools</w:t>
            </w:r>
          </w:p>
        </w:tc>
      </w:tr>
      <w:tr w:rsidR="00614586" w:rsidRPr="00BD78C5" w14:paraId="53151DF4"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70EBDC" w14:textId="77777777" w:rsidR="00614586" w:rsidRPr="006041A7" w:rsidRDefault="00614586" w:rsidP="00E20078">
            <w:pPr>
              <w:pStyle w:val="sourcestext"/>
            </w:pPr>
            <w:r w:rsidRPr="006041A7">
              <w:rPr>
                <w:b/>
                <w:bCs/>
              </w:rPr>
              <w:t>National Forest Counties and Schools Coalition</w:t>
            </w:r>
          </w:p>
        </w:tc>
      </w:tr>
      <w:tr w:rsidR="00614586" w:rsidRPr="00BD78C5" w14:paraId="47EAFA6C"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6C2AFAF8" w14:textId="77777777" w:rsidR="00614586" w:rsidRPr="006041A7" w:rsidRDefault="00614586" w:rsidP="00E20078">
            <w:pPr>
              <w:pStyle w:val="sourcestext"/>
            </w:pPr>
            <w:r w:rsidRPr="006041A7">
              <w:rPr>
                <w:b/>
                <w:bCs/>
              </w:rPr>
              <w:t>School Services of California</w:t>
            </w:r>
          </w:p>
        </w:tc>
      </w:tr>
      <w:tr w:rsidR="00614586" w:rsidRPr="00BD78C5" w14:paraId="3D722905"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95E4AB" w14:textId="77777777" w:rsidR="00614586" w:rsidRPr="006041A7" w:rsidRDefault="00614586" w:rsidP="00E20078">
            <w:pPr>
              <w:pStyle w:val="sourcestext"/>
            </w:pPr>
            <w:r w:rsidRPr="006041A7">
              <w:rPr>
                <w:b/>
                <w:bCs/>
              </w:rPr>
              <w:t>Schools for Sound Finance (SF2)</w:t>
            </w:r>
          </w:p>
        </w:tc>
      </w:tr>
      <w:tr w:rsidR="00614586" w:rsidRPr="00BD78C5" w14:paraId="131274EE"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5F9C87CC" w14:textId="77777777" w:rsidR="00614586" w:rsidRPr="006041A7" w:rsidRDefault="00614586" w:rsidP="00E20078">
            <w:pPr>
              <w:pStyle w:val="sourcestext"/>
            </w:pPr>
            <w:r w:rsidRPr="006041A7">
              <w:rPr>
                <w:b/>
                <w:bCs/>
              </w:rPr>
              <w:t>Small School Districts’ Association</w:t>
            </w:r>
          </w:p>
        </w:tc>
      </w:tr>
      <w:tr w:rsidR="00614586" w:rsidRPr="00BD78C5" w14:paraId="4E052D9E" w14:textId="77777777" w:rsidTr="00E2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1C7D71" w14:textId="77777777" w:rsidR="00614586" w:rsidRPr="006041A7" w:rsidRDefault="00614586" w:rsidP="00E20078">
            <w:pPr>
              <w:pStyle w:val="sourcestext"/>
            </w:pPr>
            <w:r w:rsidRPr="006041A7">
              <w:rPr>
                <w:b/>
                <w:bCs/>
              </w:rPr>
              <w:t>Statewide LEC Co-chairs</w:t>
            </w:r>
          </w:p>
        </w:tc>
      </w:tr>
      <w:tr w:rsidR="00614586" w:rsidRPr="00BD78C5" w14:paraId="0D2C7920" w14:textId="77777777" w:rsidTr="00E20078">
        <w:tc>
          <w:tcPr>
            <w:cnfStyle w:val="001000000000" w:firstRow="0" w:lastRow="0" w:firstColumn="1" w:lastColumn="0" w:oddVBand="0" w:evenVBand="0" w:oddHBand="0" w:evenHBand="0" w:firstRowFirstColumn="0" w:firstRowLastColumn="0" w:lastRowFirstColumn="0" w:lastRowLastColumn="0"/>
            <w:tcW w:w="9350" w:type="dxa"/>
          </w:tcPr>
          <w:p w14:paraId="37B3F0DF" w14:textId="77777777" w:rsidR="00614586" w:rsidRPr="006041A7" w:rsidRDefault="00614586" w:rsidP="00E20078">
            <w:pPr>
              <w:pStyle w:val="sourcestext"/>
            </w:pPr>
            <w:r w:rsidRPr="006041A7">
              <w:rPr>
                <w:b/>
                <w:bCs/>
              </w:rPr>
              <w:t>West</w:t>
            </w:r>
            <w:r>
              <w:rPr>
                <w:b/>
                <w:bCs/>
              </w:rPr>
              <w:t>E</w:t>
            </w:r>
            <w:r w:rsidRPr="006041A7">
              <w:rPr>
                <w:b/>
                <w:bCs/>
              </w:rPr>
              <w:t>d</w:t>
            </w:r>
          </w:p>
        </w:tc>
      </w:tr>
    </w:tbl>
    <w:p w14:paraId="7E2F797E" w14:textId="77777777" w:rsidR="00614586" w:rsidRPr="00DB3ADD" w:rsidRDefault="00614586" w:rsidP="00614586">
      <w:pPr>
        <w:spacing w:after="0" w:line="240" w:lineRule="auto"/>
        <w:rPr>
          <w:rFonts w:ascii="Arial" w:eastAsia="Times New Roman" w:hAnsi="Arial" w:cs="Arial"/>
          <w:sz w:val="24"/>
          <w:szCs w:val="24"/>
        </w:rPr>
      </w:pPr>
    </w:p>
    <w:p w14:paraId="7E54D1CD" w14:textId="77777777" w:rsidR="00614586" w:rsidRPr="00DB3ADD" w:rsidRDefault="00614586" w:rsidP="00614586">
      <w:pPr>
        <w:spacing w:after="200" w:line="276" w:lineRule="auto"/>
        <w:rPr>
          <w:rFonts w:ascii="Arial" w:eastAsia="Calibri" w:hAnsi="Arial" w:cs="Arial"/>
          <w:sz w:val="24"/>
        </w:rPr>
      </w:pPr>
    </w:p>
    <w:p w14:paraId="237EF3CA" w14:textId="77777777" w:rsidR="005A2A50" w:rsidRDefault="00614586" w:rsidP="005A2A50">
      <w:pPr>
        <w:pStyle w:val="Subhead2"/>
      </w:pPr>
      <w:r w:rsidRPr="00B27C33">
        <w:br w:type="page"/>
      </w:r>
      <w:r w:rsidRPr="00B27C33">
        <w:lastRenderedPageBreak/>
        <w:t>Table</w:t>
      </w:r>
      <w:r w:rsidR="005A2A50">
        <w:t xml:space="preserve"> </w:t>
      </w:r>
      <w:r w:rsidR="005A2A50" w:rsidRPr="00B27C33">
        <w:t>of Contents</w:t>
      </w:r>
    </w:p>
    <w:p w14:paraId="1C77EF2C" w14:textId="085144D5" w:rsidR="00485F43" w:rsidRDefault="00DE54E1" w:rsidP="00382DD2">
      <w:pPr>
        <w:pStyle w:val="TOC1"/>
        <w:rPr>
          <w:rFonts w:eastAsiaTheme="minorEastAsia" w:cstheme="minorBidi"/>
          <w:noProof/>
        </w:rPr>
      </w:pPr>
      <w:r>
        <w:fldChar w:fldCharType="begin"/>
      </w:r>
      <w:r>
        <w:instrText xml:space="preserve"> TOC \f \t "Subhead 1,2,Headline 2,1" </w:instrText>
      </w:r>
      <w:r>
        <w:fldChar w:fldCharType="separate"/>
      </w:r>
      <w:r w:rsidR="00485F43">
        <w:rPr>
          <w:noProof/>
        </w:rPr>
        <w:t>Sources</w:t>
      </w:r>
      <w:r w:rsidR="00485F43">
        <w:rPr>
          <w:noProof/>
        </w:rPr>
        <w:tab/>
      </w:r>
      <w:r w:rsidR="00485F43">
        <w:rPr>
          <w:noProof/>
        </w:rPr>
        <w:fldChar w:fldCharType="begin"/>
      </w:r>
      <w:r w:rsidR="00485F43">
        <w:rPr>
          <w:noProof/>
        </w:rPr>
        <w:instrText xml:space="preserve"> PAGEREF _Toc77843044 \h </w:instrText>
      </w:r>
      <w:r w:rsidR="00485F43">
        <w:rPr>
          <w:noProof/>
        </w:rPr>
      </w:r>
      <w:r w:rsidR="00485F43">
        <w:rPr>
          <w:noProof/>
        </w:rPr>
        <w:fldChar w:fldCharType="separate"/>
      </w:r>
      <w:r w:rsidR="00485F43">
        <w:rPr>
          <w:noProof/>
        </w:rPr>
        <w:t>3</w:t>
      </w:r>
      <w:r w:rsidR="00485F43">
        <w:rPr>
          <w:noProof/>
        </w:rPr>
        <w:fldChar w:fldCharType="end"/>
      </w:r>
    </w:p>
    <w:p w14:paraId="401F1F6F" w14:textId="4B7A25BF" w:rsidR="00485F43" w:rsidRDefault="00485F43" w:rsidP="00382DD2">
      <w:pPr>
        <w:pStyle w:val="TOC1"/>
        <w:rPr>
          <w:rFonts w:eastAsiaTheme="minorEastAsia" w:cstheme="minorBidi"/>
          <w:noProof/>
        </w:rPr>
      </w:pPr>
      <w:r>
        <w:rPr>
          <w:noProof/>
        </w:rPr>
        <w:t>Background</w:t>
      </w:r>
      <w:r>
        <w:rPr>
          <w:noProof/>
        </w:rPr>
        <w:tab/>
      </w:r>
      <w:r>
        <w:rPr>
          <w:noProof/>
        </w:rPr>
        <w:fldChar w:fldCharType="begin"/>
      </w:r>
      <w:r>
        <w:rPr>
          <w:noProof/>
        </w:rPr>
        <w:instrText xml:space="preserve"> PAGEREF _Toc77843045 \h </w:instrText>
      </w:r>
      <w:r>
        <w:rPr>
          <w:noProof/>
        </w:rPr>
      </w:r>
      <w:r>
        <w:rPr>
          <w:noProof/>
        </w:rPr>
        <w:fldChar w:fldCharType="separate"/>
      </w:r>
      <w:r>
        <w:rPr>
          <w:noProof/>
        </w:rPr>
        <w:t>5</w:t>
      </w:r>
      <w:r>
        <w:rPr>
          <w:noProof/>
        </w:rPr>
        <w:fldChar w:fldCharType="end"/>
      </w:r>
    </w:p>
    <w:p w14:paraId="0505C4DD" w14:textId="68F474F9" w:rsidR="00485F43" w:rsidRDefault="00485F43" w:rsidP="00382DD2">
      <w:pPr>
        <w:pStyle w:val="TOC1"/>
        <w:rPr>
          <w:rFonts w:eastAsiaTheme="minorEastAsia" w:cstheme="minorBidi"/>
          <w:noProof/>
        </w:rPr>
      </w:pPr>
      <w:r>
        <w:rPr>
          <w:noProof/>
        </w:rPr>
        <w:t>45-Day Revision/Adopted 2021-2022 Budget Key Guidance</w:t>
      </w:r>
      <w:r>
        <w:rPr>
          <w:noProof/>
        </w:rPr>
        <w:tab/>
      </w:r>
      <w:r>
        <w:rPr>
          <w:noProof/>
        </w:rPr>
        <w:fldChar w:fldCharType="begin"/>
      </w:r>
      <w:r>
        <w:rPr>
          <w:noProof/>
        </w:rPr>
        <w:instrText xml:space="preserve"> PAGEREF _Toc77843046 \h </w:instrText>
      </w:r>
      <w:r>
        <w:rPr>
          <w:noProof/>
        </w:rPr>
      </w:r>
      <w:r>
        <w:rPr>
          <w:noProof/>
        </w:rPr>
        <w:fldChar w:fldCharType="separate"/>
      </w:r>
      <w:r>
        <w:rPr>
          <w:noProof/>
        </w:rPr>
        <w:t>5</w:t>
      </w:r>
      <w:r>
        <w:rPr>
          <w:noProof/>
        </w:rPr>
        <w:fldChar w:fldCharType="end"/>
      </w:r>
    </w:p>
    <w:p w14:paraId="495DF61A" w14:textId="7539B650" w:rsidR="00485F43" w:rsidRDefault="00485F43">
      <w:pPr>
        <w:pStyle w:val="TOC2"/>
        <w:tabs>
          <w:tab w:val="right" w:leader="dot" w:pos="9350"/>
        </w:tabs>
        <w:rPr>
          <w:rFonts w:eastAsiaTheme="minorEastAsia" w:cstheme="minorBidi"/>
          <w:b w:val="0"/>
          <w:bCs w:val="0"/>
          <w:noProof/>
          <w:sz w:val="24"/>
          <w:szCs w:val="24"/>
        </w:rPr>
      </w:pPr>
      <w:r>
        <w:rPr>
          <w:noProof/>
        </w:rPr>
        <w:t>Significant Changes Since the May Revision</w:t>
      </w:r>
      <w:r>
        <w:rPr>
          <w:noProof/>
        </w:rPr>
        <w:tab/>
      </w:r>
      <w:r>
        <w:rPr>
          <w:noProof/>
        </w:rPr>
        <w:fldChar w:fldCharType="begin"/>
      </w:r>
      <w:r>
        <w:rPr>
          <w:noProof/>
        </w:rPr>
        <w:instrText xml:space="preserve"> PAGEREF _Toc77843047 \h </w:instrText>
      </w:r>
      <w:r>
        <w:rPr>
          <w:noProof/>
        </w:rPr>
      </w:r>
      <w:r>
        <w:rPr>
          <w:noProof/>
        </w:rPr>
        <w:fldChar w:fldCharType="separate"/>
      </w:r>
      <w:r>
        <w:rPr>
          <w:noProof/>
        </w:rPr>
        <w:t>6</w:t>
      </w:r>
      <w:r>
        <w:rPr>
          <w:noProof/>
        </w:rPr>
        <w:fldChar w:fldCharType="end"/>
      </w:r>
    </w:p>
    <w:p w14:paraId="34B7168B" w14:textId="2E6C06E7" w:rsidR="00485F43" w:rsidRDefault="00485F43">
      <w:pPr>
        <w:pStyle w:val="TOC2"/>
        <w:tabs>
          <w:tab w:val="right" w:leader="dot" w:pos="9350"/>
        </w:tabs>
        <w:rPr>
          <w:rFonts w:eastAsiaTheme="minorEastAsia" w:cstheme="minorBidi"/>
          <w:b w:val="0"/>
          <w:bCs w:val="0"/>
          <w:noProof/>
          <w:sz w:val="24"/>
          <w:szCs w:val="24"/>
        </w:rPr>
      </w:pPr>
      <w:r>
        <w:rPr>
          <w:noProof/>
        </w:rPr>
        <w:t>Independent Study Requirements – AB 130</w:t>
      </w:r>
      <w:r>
        <w:rPr>
          <w:noProof/>
        </w:rPr>
        <w:tab/>
      </w:r>
      <w:r>
        <w:rPr>
          <w:noProof/>
        </w:rPr>
        <w:fldChar w:fldCharType="begin"/>
      </w:r>
      <w:r>
        <w:rPr>
          <w:noProof/>
        </w:rPr>
        <w:instrText xml:space="preserve"> PAGEREF _Toc77843048 \h </w:instrText>
      </w:r>
      <w:r>
        <w:rPr>
          <w:noProof/>
        </w:rPr>
      </w:r>
      <w:r>
        <w:rPr>
          <w:noProof/>
        </w:rPr>
        <w:fldChar w:fldCharType="separate"/>
      </w:r>
      <w:r>
        <w:rPr>
          <w:noProof/>
        </w:rPr>
        <w:t>6</w:t>
      </w:r>
      <w:r>
        <w:rPr>
          <w:noProof/>
        </w:rPr>
        <w:fldChar w:fldCharType="end"/>
      </w:r>
    </w:p>
    <w:p w14:paraId="6EE896D4" w14:textId="18402412" w:rsidR="00485F43" w:rsidRDefault="00485F43">
      <w:pPr>
        <w:pStyle w:val="TOC2"/>
        <w:tabs>
          <w:tab w:val="right" w:leader="dot" w:pos="9350"/>
        </w:tabs>
        <w:rPr>
          <w:rFonts w:eastAsiaTheme="minorEastAsia" w:cstheme="minorBidi"/>
          <w:b w:val="0"/>
          <w:bCs w:val="0"/>
          <w:noProof/>
          <w:sz w:val="24"/>
          <w:szCs w:val="24"/>
        </w:rPr>
      </w:pPr>
      <w:r>
        <w:rPr>
          <w:noProof/>
        </w:rPr>
        <w:t>Federal and State Funds</w:t>
      </w:r>
      <w:r>
        <w:rPr>
          <w:noProof/>
        </w:rPr>
        <w:tab/>
      </w:r>
      <w:r>
        <w:rPr>
          <w:noProof/>
        </w:rPr>
        <w:fldChar w:fldCharType="begin"/>
      </w:r>
      <w:r>
        <w:rPr>
          <w:noProof/>
        </w:rPr>
        <w:instrText xml:space="preserve"> PAGEREF _Toc77843049 \h </w:instrText>
      </w:r>
      <w:r>
        <w:rPr>
          <w:noProof/>
        </w:rPr>
      </w:r>
      <w:r>
        <w:rPr>
          <w:noProof/>
        </w:rPr>
        <w:fldChar w:fldCharType="separate"/>
      </w:r>
      <w:r>
        <w:rPr>
          <w:noProof/>
        </w:rPr>
        <w:t>11</w:t>
      </w:r>
      <w:r>
        <w:rPr>
          <w:noProof/>
        </w:rPr>
        <w:fldChar w:fldCharType="end"/>
      </w:r>
    </w:p>
    <w:p w14:paraId="6BEF3607" w14:textId="39FE8EAC" w:rsidR="00485F43" w:rsidRDefault="00485F43">
      <w:pPr>
        <w:pStyle w:val="TOC2"/>
        <w:tabs>
          <w:tab w:val="right" w:leader="dot" w:pos="9350"/>
        </w:tabs>
        <w:rPr>
          <w:rFonts w:eastAsiaTheme="minorEastAsia" w:cstheme="minorBidi"/>
          <w:b w:val="0"/>
          <w:bCs w:val="0"/>
          <w:noProof/>
          <w:sz w:val="24"/>
          <w:szCs w:val="24"/>
        </w:rPr>
      </w:pPr>
      <w:r>
        <w:rPr>
          <w:noProof/>
        </w:rPr>
        <w:t>Planning Factors for 2021-22 and MYPs</w:t>
      </w:r>
      <w:r>
        <w:rPr>
          <w:noProof/>
        </w:rPr>
        <w:tab/>
      </w:r>
      <w:r>
        <w:rPr>
          <w:noProof/>
        </w:rPr>
        <w:fldChar w:fldCharType="begin"/>
      </w:r>
      <w:r>
        <w:rPr>
          <w:noProof/>
        </w:rPr>
        <w:instrText xml:space="preserve"> PAGEREF _Toc77843050 \h </w:instrText>
      </w:r>
      <w:r>
        <w:rPr>
          <w:noProof/>
        </w:rPr>
      </w:r>
      <w:r>
        <w:rPr>
          <w:noProof/>
        </w:rPr>
        <w:fldChar w:fldCharType="separate"/>
      </w:r>
      <w:r>
        <w:rPr>
          <w:noProof/>
        </w:rPr>
        <w:t>12</w:t>
      </w:r>
      <w:r>
        <w:rPr>
          <w:noProof/>
        </w:rPr>
        <w:fldChar w:fldCharType="end"/>
      </w:r>
    </w:p>
    <w:p w14:paraId="52F8A3DA" w14:textId="071B1253" w:rsidR="00485F43" w:rsidRDefault="00485F43">
      <w:pPr>
        <w:pStyle w:val="TOC2"/>
        <w:tabs>
          <w:tab w:val="right" w:leader="dot" w:pos="9350"/>
        </w:tabs>
        <w:rPr>
          <w:rFonts w:eastAsiaTheme="minorEastAsia" w:cstheme="minorBidi"/>
          <w:b w:val="0"/>
          <w:bCs w:val="0"/>
          <w:noProof/>
          <w:sz w:val="24"/>
          <w:szCs w:val="24"/>
        </w:rPr>
      </w:pPr>
      <w:r>
        <w:rPr>
          <w:noProof/>
        </w:rPr>
        <w:t>Local Control Funding Formula</w:t>
      </w:r>
      <w:r>
        <w:rPr>
          <w:noProof/>
        </w:rPr>
        <w:tab/>
      </w:r>
      <w:r>
        <w:rPr>
          <w:noProof/>
        </w:rPr>
        <w:fldChar w:fldCharType="begin"/>
      </w:r>
      <w:r>
        <w:rPr>
          <w:noProof/>
        </w:rPr>
        <w:instrText xml:space="preserve"> PAGEREF _Toc77843051 \h </w:instrText>
      </w:r>
      <w:r>
        <w:rPr>
          <w:noProof/>
        </w:rPr>
      </w:r>
      <w:r>
        <w:rPr>
          <w:noProof/>
        </w:rPr>
        <w:fldChar w:fldCharType="separate"/>
      </w:r>
      <w:r>
        <w:rPr>
          <w:noProof/>
        </w:rPr>
        <w:t>13</w:t>
      </w:r>
      <w:r>
        <w:rPr>
          <w:noProof/>
        </w:rPr>
        <w:fldChar w:fldCharType="end"/>
      </w:r>
    </w:p>
    <w:p w14:paraId="27B2BF09" w14:textId="30855CA7" w:rsidR="00485F43" w:rsidRDefault="00485F43">
      <w:pPr>
        <w:pStyle w:val="TOC2"/>
        <w:tabs>
          <w:tab w:val="right" w:leader="dot" w:pos="9350"/>
        </w:tabs>
        <w:rPr>
          <w:rFonts w:eastAsiaTheme="minorEastAsia" w:cstheme="minorBidi"/>
          <w:b w:val="0"/>
          <w:bCs w:val="0"/>
          <w:noProof/>
          <w:sz w:val="24"/>
          <w:szCs w:val="24"/>
        </w:rPr>
      </w:pPr>
      <w:r>
        <w:rPr>
          <w:noProof/>
        </w:rPr>
        <w:t>Expanded Learning Opportunities Program</w:t>
      </w:r>
      <w:r>
        <w:rPr>
          <w:noProof/>
        </w:rPr>
        <w:tab/>
      </w:r>
      <w:r>
        <w:rPr>
          <w:noProof/>
        </w:rPr>
        <w:fldChar w:fldCharType="begin"/>
      </w:r>
      <w:r>
        <w:rPr>
          <w:noProof/>
        </w:rPr>
        <w:instrText xml:space="preserve"> PAGEREF _Toc77843052 \h </w:instrText>
      </w:r>
      <w:r>
        <w:rPr>
          <w:noProof/>
        </w:rPr>
      </w:r>
      <w:r>
        <w:rPr>
          <w:noProof/>
        </w:rPr>
        <w:fldChar w:fldCharType="separate"/>
      </w:r>
      <w:r>
        <w:rPr>
          <w:noProof/>
        </w:rPr>
        <w:t>13</w:t>
      </w:r>
      <w:r>
        <w:rPr>
          <w:noProof/>
        </w:rPr>
        <w:fldChar w:fldCharType="end"/>
      </w:r>
    </w:p>
    <w:p w14:paraId="0F5771C6" w14:textId="172F08B1" w:rsidR="00485F43" w:rsidRDefault="00485F43">
      <w:pPr>
        <w:pStyle w:val="TOC2"/>
        <w:tabs>
          <w:tab w:val="right" w:leader="dot" w:pos="9350"/>
        </w:tabs>
        <w:rPr>
          <w:rFonts w:eastAsiaTheme="minorEastAsia" w:cstheme="minorBidi"/>
          <w:b w:val="0"/>
          <w:bCs w:val="0"/>
          <w:noProof/>
          <w:sz w:val="24"/>
          <w:szCs w:val="24"/>
        </w:rPr>
      </w:pPr>
      <w:r>
        <w:rPr>
          <w:noProof/>
        </w:rPr>
        <w:t>Local Control Accountability Plan</w:t>
      </w:r>
      <w:r>
        <w:rPr>
          <w:noProof/>
        </w:rPr>
        <w:tab/>
      </w:r>
      <w:r>
        <w:rPr>
          <w:noProof/>
        </w:rPr>
        <w:fldChar w:fldCharType="begin"/>
      </w:r>
      <w:r>
        <w:rPr>
          <w:noProof/>
        </w:rPr>
        <w:instrText xml:space="preserve"> PAGEREF _Toc77843053 \h </w:instrText>
      </w:r>
      <w:r>
        <w:rPr>
          <w:noProof/>
        </w:rPr>
      </w:r>
      <w:r>
        <w:rPr>
          <w:noProof/>
        </w:rPr>
        <w:fldChar w:fldCharType="separate"/>
      </w:r>
      <w:r>
        <w:rPr>
          <w:noProof/>
        </w:rPr>
        <w:t>13</w:t>
      </w:r>
      <w:r>
        <w:rPr>
          <w:noProof/>
        </w:rPr>
        <w:fldChar w:fldCharType="end"/>
      </w:r>
    </w:p>
    <w:p w14:paraId="28B46092" w14:textId="14E89ED6" w:rsidR="00485F43" w:rsidRDefault="00485F43">
      <w:pPr>
        <w:pStyle w:val="TOC2"/>
        <w:tabs>
          <w:tab w:val="right" w:leader="dot" w:pos="9350"/>
        </w:tabs>
        <w:rPr>
          <w:rFonts w:eastAsiaTheme="minorEastAsia" w:cstheme="minorBidi"/>
          <w:b w:val="0"/>
          <w:bCs w:val="0"/>
          <w:noProof/>
          <w:sz w:val="24"/>
          <w:szCs w:val="24"/>
        </w:rPr>
      </w:pPr>
      <w:r>
        <w:rPr>
          <w:noProof/>
        </w:rPr>
        <w:t>Special Education</w:t>
      </w:r>
      <w:r>
        <w:rPr>
          <w:noProof/>
        </w:rPr>
        <w:tab/>
      </w:r>
      <w:r>
        <w:rPr>
          <w:noProof/>
        </w:rPr>
        <w:fldChar w:fldCharType="begin"/>
      </w:r>
      <w:r>
        <w:rPr>
          <w:noProof/>
        </w:rPr>
        <w:instrText xml:space="preserve"> PAGEREF _Toc77843054 \h </w:instrText>
      </w:r>
      <w:r>
        <w:rPr>
          <w:noProof/>
        </w:rPr>
      </w:r>
      <w:r>
        <w:rPr>
          <w:noProof/>
        </w:rPr>
        <w:fldChar w:fldCharType="separate"/>
      </w:r>
      <w:r>
        <w:rPr>
          <w:noProof/>
        </w:rPr>
        <w:t>15</w:t>
      </w:r>
      <w:r>
        <w:rPr>
          <w:noProof/>
        </w:rPr>
        <w:fldChar w:fldCharType="end"/>
      </w:r>
    </w:p>
    <w:p w14:paraId="2AE977E3" w14:textId="1F6A4BBB" w:rsidR="00485F43" w:rsidRDefault="00485F43">
      <w:pPr>
        <w:pStyle w:val="TOC2"/>
        <w:tabs>
          <w:tab w:val="right" w:leader="dot" w:pos="9350"/>
        </w:tabs>
        <w:rPr>
          <w:rFonts w:eastAsiaTheme="minorEastAsia" w:cstheme="minorBidi"/>
          <w:b w:val="0"/>
          <w:bCs w:val="0"/>
          <w:noProof/>
          <w:sz w:val="24"/>
          <w:szCs w:val="24"/>
        </w:rPr>
      </w:pPr>
      <w:r>
        <w:rPr>
          <w:noProof/>
        </w:rPr>
        <w:t>Cash Flow / Deferrals</w:t>
      </w:r>
      <w:r>
        <w:rPr>
          <w:noProof/>
        </w:rPr>
        <w:tab/>
      </w:r>
      <w:r>
        <w:rPr>
          <w:noProof/>
        </w:rPr>
        <w:fldChar w:fldCharType="begin"/>
      </w:r>
      <w:r>
        <w:rPr>
          <w:noProof/>
        </w:rPr>
        <w:instrText xml:space="preserve"> PAGEREF _Toc77843055 \h </w:instrText>
      </w:r>
      <w:r>
        <w:rPr>
          <w:noProof/>
        </w:rPr>
      </w:r>
      <w:r>
        <w:rPr>
          <w:noProof/>
        </w:rPr>
        <w:fldChar w:fldCharType="separate"/>
      </w:r>
      <w:r>
        <w:rPr>
          <w:noProof/>
        </w:rPr>
        <w:t>16</w:t>
      </w:r>
      <w:r>
        <w:rPr>
          <w:noProof/>
        </w:rPr>
        <w:fldChar w:fldCharType="end"/>
      </w:r>
    </w:p>
    <w:p w14:paraId="59A917CE" w14:textId="610FE6BB" w:rsidR="00485F43" w:rsidRDefault="00485F43">
      <w:pPr>
        <w:pStyle w:val="TOC2"/>
        <w:tabs>
          <w:tab w:val="right" w:leader="dot" w:pos="9350"/>
        </w:tabs>
        <w:rPr>
          <w:rFonts w:eastAsiaTheme="minorEastAsia" w:cstheme="minorBidi"/>
          <w:b w:val="0"/>
          <w:bCs w:val="0"/>
          <w:noProof/>
          <w:sz w:val="24"/>
          <w:szCs w:val="24"/>
        </w:rPr>
      </w:pPr>
      <w:r>
        <w:rPr>
          <w:noProof/>
        </w:rPr>
        <w:t>Reserves / Reserve Cap</w:t>
      </w:r>
      <w:r>
        <w:rPr>
          <w:noProof/>
        </w:rPr>
        <w:tab/>
      </w:r>
      <w:r>
        <w:rPr>
          <w:noProof/>
        </w:rPr>
        <w:fldChar w:fldCharType="begin"/>
      </w:r>
      <w:r>
        <w:rPr>
          <w:noProof/>
        </w:rPr>
        <w:instrText xml:space="preserve"> PAGEREF _Toc77843056 \h </w:instrText>
      </w:r>
      <w:r>
        <w:rPr>
          <w:noProof/>
        </w:rPr>
      </w:r>
      <w:r>
        <w:rPr>
          <w:noProof/>
        </w:rPr>
        <w:fldChar w:fldCharType="separate"/>
      </w:r>
      <w:r>
        <w:rPr>
          <w:noProof/>
        </w:rPr>
        <w:t>16</w:t>
      </w:r>
      <w:r>
        <w:rPr>
          <w:noProof/>
        </w:rPr>
        <w:fldChar w:fldCharType="end"/>
      </w:r>
    </w:p>
    <w:p w14:paraId="47031998" w14:textId="2B613252" w:rsidR="00485F43" w:rsidRDefault="00485F43">
      <w:pPr>
        <w:pStyle w:val="TOC2"/>
        <w:tabs>
          <w:tab w:val="right" w:leader="dot" w:pos="9350"/>
        </w:tabs>
        <w:rPr>
          <w:rFonts w:eastAsiaTheme="minorEastAsia" w:cstheme="minorBidi"/>
          <w:b w:val="0"/>
          <w:bCs w:val="0"/>
          <w:noProof/>
          <w:sz w:val="24"/>
          <w:szCs w:val="24"/>
        </w:rPr>
      </w:pPr>
      <w:r>
        <w:rPr>
          <w:noProof/>
        </w:rPr>
        <w:t>One-Time Funding</w:t>
      </w:r>
      <w:r>
        <w:rPr>
          <w:noProof/>
        </w:rPr>
        <w:tab/>
      </w:r>
      <w:r>
        <w:rPr>
          <w:noProof/>
        </w:rPr>
        <w:fldChar w:fldCharType="begin"/>
      </w:r>
      <w:r>
        <w:rPr>
          <w:noProof/>
        </w:rPr>
        <w:instrText xml:space="preserve"> PAGEREF _Toc77843057 \h </w:instrText>
      </w:r>
      <w:r>
        <w:rPr>
          <w:noProof/>
        </w:rPr>
      </w:r>
      <w:r>
        <w:rPr>
          <w:noProof/>
        </w:rPr>
        <w:fldChar w:fldCharType="separate"/>
      </w:r>
      <w:r>
        <w:rPr>
          <w:noProof/>
        </w:rPr>
        <w:t>16</w:t>
      </w:r>
      <w:r>
        <w:rPr>
          <w:noProof/>
        </w:rPr>
        <w:fldChar w:fldCharType="end"/>
      </w:r>
    </w:p>
    <w:p w14:paraId="5CF9BB4D" w14:textId="3CF1A327" w:rsidR="00485F43" w:rsidRDefault="00485F43">
      <w:pPr>
        <w:pStyle w:val="TOC2"/>
        <w:tabs>
          <w:tab w:val="right" w:leader="dot" w:pos="9350"/>
        </w:tabs>
        <w:rPr>
          <w:rFonts w:eastAsiaTheme="minorEastAsia" w:cstheme="minorBidi"/>
          <w:b w:val="0"/>
          <w:bCs w:val="0"/>
          <w:noProof/>
          <w:sz w:val="24"/>
          <w:szCs w:val="24"/>
        </w:rPr>
      </w:pPr>
      <w:r>
        <w:rPr>
          <w:noProof/>
        </w:rPr>
        <w:t>Universal School Meals</w:t>
      </w:r>
      <w:r>
        <w:rPr>
          <w:noProof/>
        </w:rPr>
        <w:tab/>
      </w:r>
      <w:r>
        <w:rPr>
          <w:noProof/>
        </w:rPr>
        <w:fldChar w:fldCharType="begin"/>
      </w:r>
      <w:r>
        <w:rPr>
          <w:noProof/>
        </w:rPr>
        <w:instrText xml:space="preserve"> PAGEREF _Toc77843058 \h </w:instrText>
      </w:r>
      <w:r>
        <w:rPr>
          <w:noProof/>
        </w:rPr>
      </w:r>
      <w:r>
        <w:rPr>
          <w:noProof/>
        </w:rPr>
        <w:fldChar w:fldCharType="separate"/>
      </w:r>
      <w:r>
        <w:rPr>
          <w:noProof/>
        </w:rPr>
        <w:t>18</w:t>
      </w:r>
      <w:r>
        <w:rPr>
          <w:noProof/>
        </w:rPr>
        <w:fldChar w:fldCharType="end"/>
      </w:r>
    </w:p>
    <w:p w14:paraId="73936611" w14:textId="2173C9C5" w:rsidR="00485F43" w:rsidRDefault="00485F43">
      <w:pPr>
        <w:pStyle w:val="TOC2"/>
        <w:tabs>
          <w:tab w:val="right" w:leader="dot" w:pos="9350"/>
        </w:tabs>
        <w:rPr>
          <w:rFonts w:eastAsiaTheme="minorEastAsia" w:cstheme="minorBidi"/>
          <w:b w:val="0"/>
          <w:bCs w:val="0"/>
          <w:noProof/>
          <w:sz w:val="24"/>
          <w:szCs w:val="24"/>
        </w:rPr>
      </w:pPr>
      <w:r>
        <w:rPr>
          <w:noProof/>
        </w:rPr>
        <w:t>Early Childhood Education (ECE)</w:t>
      </w:r>
      <w:r>
        <w:rPr>
          <w:noProof/>
        </w:rPr>
        <w:tab/>
      </w:r>
      <w:r>
        <w:rPr>
          <w:noProof/>
        </w:rPr>
        <w:fldChar w:fldCharType="begin"/>
      </w:r>
      <w:r>
        <w:rPr>
          <w:noProof/>
        </w:rPr>
        <w:instrText xml:space="preserve"> PAGEREF _Toc77843059 \h </w:instrText>
      </w:r>
      <w:r>
        <w:rPr>
          <w:noProof/>
        </w:rPr>
      </w:r>
      <w:r>
        <w:rPr>
          <w:noProof/>
        </w:rPr>
        <w:fldChar w:fldCharType="separate"/>
      </w:r>
      <w:r>
        <w:rPr>
          <w:noProof/>
        </w:rPr>
        <w:t>19</w:t>
      </w:r>
      <w:r>
        <w:rPr>
          <w:noProof/>
        </w:rPr>
        <w:fldChar w:fldCharType="end"/>
      </w:r>
    </w:p>
    <w:p w14:paraId="78BF85FF" w14:textId="1274E71E" w:rsidR="00485F43" w:rsidRDefault="00485F43" w:rsidP="00382DD2">
      <w:pPr>
        <w:pStyle w:val="TOC1"/>
        <w:rPr>
          <w:rFonts w:eastAsiaTheme="minorEastAsia" w:cstheme="minorBidi"/>
          <w:noProof/>
        </w:rPr>
      </w:pPr>
      <w:r>
        <w:rPr>
          <w:noProof/>
        </w:rPr>
        <w:t>Summary</w:t>
      </w:r>
      <w:r>
        <w:rPr>
          <w:noProof/>
        </w:rPr>
        <w:tab/>
      </w:r>
      <w:r>
        <w:rPr>
          <w:noProof/>
        </w:rPr>
        <w:fldChar w:fldCharType="begin"/>
      </w:r>
      <w:r>
        <w:rPr>
          <w:noProof/>
        </w:rPr>
        <w:instrText xml:space="preserve"> PAGEREF _Toc77843060 \h </w:instrText>
      </w:r>
      <w:r>
        <w:rPr>
          <w:noProof/>
        </w:rPr>
      </w:r>
      <w:r>
        <w:rPr>
          <w:noProof/>
        </w:rPr>
        <w:fldChar w:fldCharType="separate"/>
      </w:r>
      <w:r>
        <w:rPr>
          <w:noProof/>
        </w:rPr>
        <w:t>23</w:t>
      </w:r>
      <w:r>
        <w:rPr>
          <w:noProof/>
        </w:rPr>
        <w:fldChar w:fldCharType="end"/>
      </w:r>
    </w:p>
    <w:p w14:paraId="66847029" w14:textId="4E31D10F" w:rsidR="00485F43" w:rsidRDefault="00485F43" w:rsidP="00382DD2">
      <w:pPr>
        <w:pStyle w:val="TOC1"/>
        <w:rPr>
          <w:rFonts w:eastAsiaTheme="minorEastAsia" w:cstheme="minorBidi"/>
          <w:noProof/>
        </w:rPr>
      </w:pPr>
      <w:r>
        <w:rPr>
          <w:noProof/>
        </w:rPr>
        <w:t>Appendix A</w:t>
      </w:r>
      <w:r>
        <w:rPr>
          <w:noProof/>
        </w:rPr>
        <w:tab/>
      </w:r>
      <w:r>
        <w:rPr>
          <w:noProof/>
        </w:rPr>
        <w:fldChar w:fldCharType="begin"/>
      </w:r>
      <w:r>
        <w:rPr>
          <w:noProof/>
        </w:rPr>
        <w:instrText xml:space="preserve"> PAGEREF _Toc77843061 \h </w:instrText>
      </w:r>
      <w:r>
        <w:rPr>
          <w:noProof/>
        </w:rPr>
      </w:r>
      <w:r>
        <w:rPr>
          <w:noProof/>
        </w:rPr>
        <w:fldChar w:fldCharType="separate"/>
      </w:r>
      <w:r>
        <w:rPr>
          <w:noProof/>
        </w:rPr>
        <w:t>24</w:t>
      </w:r>
      <w:r>
        <w:rPr>
          <w:noProof/>
        </w:rPr>
        <w:fldChar w:fldCharType="end"/>
      </w:r>
    </w:p>
    <w:p w14:paraId="16678CEE" w14:textId="0B246C76" w:rsidR="00B27C33" w:rsidRDefault="00DE54E1" w:rsidP="00000F1D">
      <w:pPr>
        <w:pStyle w:val="TOC1"/>
        <w:rPr>
          <w:rFonts w:ascii="Times New Roman" w:eastAsia="Times New Roman" w:hAnsi="Times New Roman" w:cs="Times New Roman"/>
        </w:rPr>
      </w:pPr>
      <w:r>
        <w:rPr>
          <w:b w:val="0"/>
          <w:bCs w:val="0"/>
          <w:i w:val="0"/>
          <w:iCs w:val="0"/>
        </w:rPr>
        <w:fldChar w:fldCharType="end"/>
      </w:r>
      <w:r w:rsidR="00B27C33">
        <w:br w:type="page"/>
      </w:r>
    </w:p>
    <w:p w14:paraId="582D6314" w14:textId="77777777" w:rsidR="004C4038" w:rsidRPr="006F3436" w:rsidRDefault="004C4038" w:rsidP="004C4038">
      <w:pPr>
        <w:pStyle w:val="Body"/>
      </w:pPr>
      <w:bookmarkStart w:id="8" w:name="_Toc72932889"/>
      <w:bookmarkStart w:id="9" w:name="_Hlk62474757"/>
      <w:r w:rsidRPr="00E834F3">
        <w:rPr>
          <w:highlight w:val="lightGray"/>
        </w:rPr>
        <w:lastRenderedPageBreak/>
        <w:t xml:space="preserve">Gray shading indicates </w:t>
      </w:r>
      <w:r w:rsidRPr="008668A8">
        <w:rPr>
          <w:highlight w:val="lightGray"/>
        </w:rPr>
        <w:t>sections are to be customized by COEs before sending to school districts.</w:t>
      </w:r>
      <w:bookmarkStart w:id="10" w:name="_Toc9527379"/>
    </w:p>
    <w:p w14:paraId="6535684E" w14:textId="77777777" w:rsidR="004C4038" w:rsidRPr="000B1B80" w:rsidRDefault="004C4038" w:rsidP="004C4038">
      <w:pPr>
        <w:pStyle w:val="Headline2"/>
      </w:pPr>
      <w:bookmarkStart w:id="11" w:name="_Toc44419823"/>
      <w:bookmarkStart w:id="12" w:name="_Toc64012821"/>
      <w:bookmarkStart w:id="13" w:name="_Toc77836538"/>
      <w:bookmarkStart w:id="14" w:name="_Toc77838780"/>
      <w:bookmarkStart w:id="15" w:name="_Toc77843045"/>
      <w:r w:rsidRPr="000B1B80">
        <w:t>Background</w:t>
      </w:r>
      <w:bookmarkEnd w:id="10"/>
      <w:bookmarkEnd w:id="11"/>
      <w:bookmarkEnd w:id="12"/>
      <w:bookmarkEnd w:id="13"/>
      <w:bookmarkEnd w:id="14"/>
      <w:bookmarkEnd w:id="15"/>
    </w:p>
    <w:p w14:paraId="4CEF6CB3" w14:textId="77777777" w:rsidR="004C4038" w:rsidRPr="00817D25" w:rsidRDefault="004C4038" w:rsidP="004C4038">
      <w:pPr>
        <w:pStyle w:val="Body"/>
        <w:rPr>
          <w:highlight w:val="lightGray"/>
        </w:rPr>
      </w:pPr>
      <w:r w:rsidRPr="00817D25">
        <w:rPr>
          <w:highlight w:val="lightGray"/>
        </w:rPr>
        <w:t>Since May 2008, county office chief business officials have crafted common messages to give guidance to school districts on assumptions for budget and interim reports.</w:t>
      </w:r>
      <w:r>
        <w:rPr>
          <w:highlight w:val="lightGray"/>
        </w:rPr>
        <w:t xml:space="preserve"> </w:t>
      </w:r>
      <w:r w:rsidRPr="00817D25">
        <w:rPr>
          <w:highlight w:val="lightGray"/>
        </w:rPr>
        <w:t>The goal of the Business and Administration Steering Committee (BASC) is to provide county office chief business officials with a consistent message, based on assumptions used by the state Department of Finance (DOF), which can be used in providing guidance to school districts.</w:t>
      </w:r>
    </w:p>
    <w:p w14:paraId="1829EC3E" w14:textId="77777777" w:rsidR="004C4038" w:rsidRPr="00817D25" w:rsidRDefault="004C4038" w:rsidP="004C4038">
      <w:pPr>
        <w:pStyle w:val="Body"/>
        <w:rPr>
          <w:highlight w:val="lightGray"/>
        </w:rPr>
      </w:pPr>
      <w:r w:rsidRPr="00817D25">
        <w:rPr>
          <w:highlight w:val="lightGray"/>
        </w:rPr>
        <w:t>The BASC would like to thank the DOF, the State Board of Education</w:t>
      </w:r>
      <w:r>
        <w:rPr>
          <w:highlight w:val="lightGray"/>
        </w:rPr>
        <w:t xml:space="preserve"> (SBE)</w:t>
      </w:r>
      <w:r w:rsidRPr="00817D25">
        <w:rPr>
          <w:highlight w:val="lightGray"/>
        </w:rPr>
        <w:t xml:space="preserve">, the California Department of Education (CDE) and the Fiscal Crisis and Management Assistance Team, as well as our colleagues in education listed in the sources section for providing BASC and our local educational agencies (LEAs) the most up-to-date information at the time of the Common Message writing. </w:t>
      </w:r>
    </w:p>
    <w:p w14:paraId="1B58B881" w14:textId="77777777" w:rsidR="004C4038" w:rsidRPr="00FE5FE8" w:rsidRDefault="004C4038" w:rsidP="004C4038">
      <w:pPr>
        <w:pStyle w:val="Body"/>
      </w:pPr>
      <w:r w:rsidRPr="00FE5FE8">
        <w:rPr>
          <w:highlight w:val="lightGray"/>
        </w:rPr>
        <w:t>Purpose: The BASC Common Message is intended as guidance and recommendations to county offices of education (COEs). Each COE will tailor the guidance to the unique circumstances of the LEAs located in their county. Even within a county, COE situational guidance may vary considerably based on the educational, fiscal and operational characteristics of a particular district. Districts and other entities seeking to understand the guidance applicable to a particular LEA should refer to the information released by the COE in the county where the LEA is located.</w:t>
      </w:r>
      <w:r w:rsidRPr="00FE5FE8">
        <w:t xml:space="preserve"> </w:t>
      </w:r>
    </w:p>
    <w:p w14:paraId="56C1E221" w14:textId="4524B637" w:rsidR="00A03C62" w:rsidRPr="00000F1D" w:rsidRDefault="00A03C62" w:rsidP="00A55B61">
      <w:pPr>
        <w:pStyle w:val="Headline2"/>
      </w:pPr>
      <w:bookmarkStart w:id="16" w:name="_Toc77836539"/>
      <w:bookmarkStart w:id="17" w:name="_Toc77838781"/>
      <w:bookmarkStart w:id="18" w:name="_Toc77843046"/>
      <w:bookmarkStart w:id="19" w:name="_Toc72932891"/>
      <w:bookmarkEnd w:id="8"/>
      <w:bookmarkEnd w:id="9"/>
      <w:r w:rsidRPr="00000F1D">
        <w:t>45-Day Revision/Adopted 2021-2022 Budget Key Guidance</w:t>
      </w:r>
      <w:bookmarkEnd w:id="16"/>
      <w:bookmarkEnd w:id="17"/>
      <w:bookmarkEnd w:id="18"/>
    </w:p>
    <w:p w14:paraId="670CF988" w14:textId="0DEC178D" w:rsidR="00A03C62" w:rsidRPr="008F1E58" w:rsidRDefault="00A03C62" w:rsidP="00000F1D">
      <w:pPr>
        <w:pStyle w:val="Body"/>
      </w:pPr>
      <w:r w:rsidRPr="00A55B61">
        <w:t>On June 28, 2021, Governor Gavin Newsom signed an on-time budget.</w:t>
      </w:r>
      <w:r w:rsidR="00174D21" w:rsidRPr="008F1E58">
        <w:t xml:space="preserve"> </w:t>
      </w:r>
      <w:r w:rsidRPr="008F1E58">
        <w:t>The budget maintained several items that were included in the May Revision:</w:t>
      </w:r>
      <w:r w:rsidR="00174D21" w:rsidRPr="008F1E58">
        <w:t xml:space="preserve"> </w:t>
      </w:r>
      <w:r w:rsidRPr="008F1E58">
        <w:t xml:space="preserve">a 5.07% Cost of Living Adjustment (COLA) to the Local Control Funding Formula (LCFF), 4.05% COLA to Special Education, and 1.7% to state categorical programs; contributions to the </w:t>
      </w:r>
      <w:proofErr w:type="gramStart"/>
      <w:r w:rsidRPr="008F1E58">
        <w:t>Public School</w:t>
      </w:r>
      <w:proofErr w:type="gramEnd"/>
      <w:r w:rsidRPr="008F1E58">
        <w:t xml:space="preserve"> System Stabilization Account (PSSSA) and </w:t>
      </w:r>
      <w:r w:rsidR="00AF6C9A" w:rsidRPr="008F1E58">
        <w:t>r</w:t>
      </w:r>
      <w:r w:rsidRPr="008F1E58">
        <w:t xml:space="preserve">ainy </w:t>
      </w:r>
      <w:r w:rsidR="00AF6C9A" w:rsidRPr="008F1E58">
        <w:t>d</w:t>
      </w:r>
      <w:r w:rsidRPr="008F1E58">
        <w:t xml:space="preserve">ay </w:t>
      </w:r>
      <w:r w:rsidR="00AF6C9A" w:rsidRPr="008F1E58">
        <w:t>f</w:t>
      </w:r>
      <w:r w:rsidRPr="008F1E58">
        <w:t>unds; and a legislative work-around to limit spending and maximize exceptions to maintain the constitutional appropriation Gann Limit.</w:t>
      </w:r>
      <w:r w:rsidR="00174D21" w:rsidRPr="008F1E58">
        <w:t xml:space="preserve"> </w:t>
      </w:r>
      <w:r w:rsidRPr="008F1E58">
        <w:t xml:space="preserve">The large funding priorities in this </w:t>
      </w:r>
      <w:r w:rsidR="00DE54E1" w:rsidRPr="00DE54E1">
        <w:t>Adopted Budget</w:t>
      </w:r>
      <w:r w:rsidRPr="008F1E58">
        <w:t xml:space="preserve"> are:</w:t>
      </w:r>
      <w:r w:rsidR="00174D21" w:rsidRPr="008F1E58">
        <w:t xml:space="preserve"> </w:t>
      </w:r>
    </w:p>
    <w:p w14:paraId="2C254D93" w14:textId="35502955" w:rsidR="00A03C62" w:rsidRPr="008F1E58" w:rsidRDefault="00A03C62" w:rsidP="00000F1D">
      <w:pPr>
        <w:pStyle w:val="Bullet"/>
      </w:pPr>
      <w:r w:rsidRPr="008F1E58">
        <w:t>$</w:t>
      </w:r>
      <w:r w:rsidR="00866EB1" w:rsidRPr="008F1E58">
        <w:t>11</w:t>
      </w:r>
      <w:r w:rsidRPr="008F1E58">
        <w:t xml:space="preserve"> billion to eliminate </w:t>
      </w:r>
      <w:proofErr w:type="spellStart"/>
      <w:r w:rsidRPr="008F1E58">
        <w:t>interyear</w:t>
      </w:r>
      <w:proofErr w:type="spellEnd"/>
      <w:r w:rsidRPr="008F1E58">
        <w:t xml:space="preserve"> principal apportionment deferrals</w:t>
      </w:r>
    </w:p>
    <w:p w14:paraId="2E1DBE12" w14:textId="62A0A373" w:rsidR="00A03C62" w:rsidRPr="008F1E58" w:rsidRDefault="00A03C62" w:rsidP="00000F1D">
      <w:pPr>
        <w:pStyle w:val="Bullet"/>
      </w:pPr>
      <w:r w:rsidRPr="008F1E58">
        <w:t>$3.2 billion for 5.07% LCFF</w:t>
      </w:r>
      <w:r w:rsidR="007E6AF6" w:rsidRPr="008F1E58">
        <w:t xml:space="preserve"> mega</w:t>
      </w:r>
      <w:r w:rsidRPr="008F1E58">
        <w:t xml:space="preserve"> COLA</w:t>
      </w:r>
    </w:p>
    <w:p w14:paraId="46117ED2" w14:textId="7700186F" w:rsidR="00A03C62" w:rsidRPr="008F1E58" w:rsidRDefault="00A03C62" w:rsidP="00000F1D">
      <w:pPr>
        <w:pStyle w:val="Bullet"/>
      </w:pPr>
      <w:r w:rsidRPr="008F1E58">
        <w:t>$1.1</w:t>
      </w:r>
      <w:r w:rsidR="00963F00" w:rsidRPr="008F1E58">
        <w:t>26</w:t>
      </w:r>
      <w:r w:rsidRPr="008F1E58">
        <w:t xml:space="preserve"> billion for concentration grant increase</w:t>
      </w:r>
    </w:p>
    <w:p w14:paraId="283B26AA" w14:textId="5DF5CAD3" w:rsidR="00A03C62" w:rsidRPr="008F1E58" w:rsidRDefault="00A03C62" w:rsidP="00000F1D">
      <w:pPr>
        <w:pStyle w:val="Bullet"/>
      </w:pPr>
      <w:r w:rsidRPr="008F1E58">
        <w:t>$1</w:t>
      </w:r>
      <w:r w:rsidR="0080185F" w:rsidRPr="008F1E58">
        <w:t>.</w:t>
      </w:r>
      <w:r w:rsidR="00866EB1" w:rsidRPr="008F1E58">
        <w:t>8</w:t>
      </w:r>
      <w:r w:rsidRPr="008F1E58">
        <w:t xml:space="preserve"> billion for expanded learning time for K-6 unduplicated students</w:t>
      </w:r>
    </w:p>
    <w:p w14:paraId="4431996A" w14:textId="70555AAB" w:rsidR="00963F00" w:rsidRPr="00E351B3" w:rsidRDefault="00963F00" w:rsidP="00000F1D">
      <w:pPr>
        <w:pStyle w:val="Bullet"/>
      </w:pPr>
      <w:r w:rsidRPr="008F1E58">
        <w:t xml:space="preserve">Requirement for </w:t>
      </w:r>
      <w:r w:rsidR="00E351B3">
        <w:t>i</w:t>
      </w:r>
      <w:r w:rsidRPr="008F1E58">
        <w:t>n-</w:t>
      </w:r>
      <w:r w:rsidR="00E351B3">
        <w:t>p</w:t>
      </w:r>
      <w:r w:rsidRPr="008F1E58">
        <w:t xml:space="preserve">erson </w:t>
      </w:r>
      <w:r w:rsidR="00E351B3">
        <w:t>i</w:t>
      </w:r>
      <w:r w:rsidRPr="00E351B3">
        <w:t xml:space="preserve">nstruction and the availability of </w:t>
      </w:r>
      <w:r w:rsidR="00E351B3">
        <w:t>i</w:t>
      </w:r>
      <w:r w:rsidRPr="00E351B3">
        <w:t xml:space="preserve">ndependent </w:t>
      </w:r>
      <w:r w:rsidR="00E351B3">
        <w:t>s</w:t>
      </w:r>
      <w:r w:rsidRPr="00E351B3">
        <w:t>tudy</w:t>
      </w:r>
    </w:p>
    <w:p w14:paraId="79D7BF88" w14:textId="188E02AC" w:rsidR="00963F00" w:rsidRPr="008F1E58" w:rsidRDefault="00963F00" w:rsidP="00000F1D">
      <w:pPr>
        <w:pStyle w:val="Bullet"/>
      </w:pPr>
      <w:r w:rsidRPr="00E351B3">
        <w:t>Multi</w:t>
      </w:r>
      <w:r w:rsidRPr="008F1E58">
        <w:t xml:space="preserve">year ramp up of </w:t>
      </w:r>
      <w:r w:rsidR="00AF6C9A" w:rsidRPr="008F1E58">
        <w:t>u</w:t>
      </w:r>
      <w:r w:rsidRPr="008F1E58">
        <w:t xml:space="preserve">niversal </w:t>
      </w:r>
      <w:r w:rsidR="00AF6C9A" w:rsidRPr="008F1E58">
        <w:t>t</w:t>
      </w:r>
      <w:r w:rsidRPr="008F1E58">
        <w:t xml:space="preserve">ransitional </w:t>
      </w:r>
      <w:r w:rsidR="00AF6C9A" w:rsidRPr="008F1E58">
        <w:t>k</w:t>
      </w:r>
      <w:r w:rsidRPr="008F1E58">
        <w:t>indergarten</w:t>
      </w:r>
    </w:p>
    <w:p w14:paraId="544658E7" w14:textId="5E2244FA" w:rsidR="00963F00" w:rsidRPr="008F1E58" w:rsidRDefault="00963F00" w:rsidP="00000F1D">
      <w:pPr>
        <w:pStyle w:val="Bullet"/>
      </w:pPr>
      <w:r w:rsidRPr="008F1E58">
        <w:t xml:space="preserve">Planning for a </w:t>
      </w:r>
      <w:r w:rsidR="00AF6C9A" w:rsidRPr="008F1E58">
        <w:t>u</w:t>
      </w:r>
      <w:r w:rsidRPr="008F1E58">
        <w:t xml:space="preserve">niversal </w:t>
      </w:r>
      <w:r w:rsidR="00AF6C9A" w:rsidRPr="008F1E58">
        <w:t>m</w:t>
      </w:r>
      <w:r w:rsidRPr="008F1E58">
        <w:t xml:space="preserve">eal </w:t>
      </w:r>
      <w:r w:rsidR="00AF6C9A" w:rsidRPr="008F1E58">
        <w:t>p</w:t>
      </w:r>
      <w:r w:rsidRPr="008F1E58">
        <w:t>rogram in 2022-23</w:t>
      </w:r>
    </w:p>
    <w:p w14:paraId="00472293" w14:textId="3902D485" w:rsidR="00DE54E1" w:rsidRDefault="00DE54E1">
      <w:pPr>
        <w:rPr>
          <w:rFonts w:ascii="Gill Sans MT" w:eastAsia="Times New Roman" w:hAnsi="Gill Sans MT" w:cs="Times New Roman"/>
          <w:b/>
          <w:sz w:val="36"/>
          <w:szCs w:val="24"/>
        </w:rPr>
      </w:pPr>
      <w:r>
        <w:br w:type="page"/>
      </w:r>
    </w:p>
    <w:p w14:paraId="44061A93" w14:textId="77777777" w:rsidR="00A03C62" w:rsidRPr="00E834F3" w:rsidRDefault="00A03C62">
      <w:pPr>
        <w:pStyle w:val="Subhead1"/>
      </w:pPr>
      <w:bookmarkStart w:id="20" w:name="_Toc52962488"/>
      <w:bookmarkStart w:id="21" w:name="_Toc77836540"/>
      <w:bookmarkStart w:id="22" w:name="_Toc77838782"/>
      <w:bookmarkStart w:id="23" w:name="_Toc77843047"/>
      <w:r w:rsidRPr="008668A8">
        <w:lastRenderedPageBreak/>
        <w:t xml:space="preserve">Significant Changes Since </w:t>
      </w:r>
      <w:bookmarkEnd w:id="20"/>
      <w:r>
        <w:t>the May Revision</w:t>
      </w:r>
      <w:bookmarkEnd w:id="21"/>
      <w:bookmarkEnd w:id="22"/>
      <w:bookmarkEnd w:id="23"/>
    </w:p>
    <w:p w14:paraId="39364395" w14:textId="1A0B64F3" w:rsidR="00A03C62" w:rsidRDefault="00A03C62" w:rsidP="00A03C62">
      <w:pPr>
        <w:pStyle w:val="Body"/>
      </w:pPr>
      <w:r>
        <w:t xml:space="preserve">The Governor’s 2021-22 </w:t>
      </w:r>
      <w:r w:rsidR="00DE54E1">
        <w:t>Adopted Budget</w:t>
      </w:r>
      <w:r>
        <w:t xml:space="preserve"> provides Prop</w:t>
      </w:r>
      <w:r w:rsidR="00AF6C9A">
        <w:t>.</w:t>
      </w:r>
      <w:r>
        <w:t xml:space="preserve"> 98 funding at $93.7 billion for 2021-22, with $4.5 billion deposited into the PSSSA.</w:t>
      </w:r>
      <w:r w:rsidR="00174D21">
        <w:t xml:space="preserve"> </w:t>
      </w:r>
      <w:r>
        <w:t>The biggest change in Prop</w:t>
      </w:r>
      <w:r w:rsidR="00AF6C9A">
        <w:t>.</w:t>
      </w:r>
      <w:r>
        <w:t xml:space="preserve"> 98 funding was the increase to Special Education, providing $396.8 million in ongoing funds to the base grant (</w:t>
      </w:r>
      <w:r w:rsidR="00E26859">
        <w:t xml:space="preserve">in addition to the </w:t>
      </w:r>
      <w:r>
        <w:t>4.05% COLA).</w:t>
      </w:r>
      <w:r w:rsidR="00174D21">
        <w:t xml:space="preserve"> </w:t>
      </w:r>
    </w:p>
    <w:p w14:paraId="71CB8C9C" w14:textId="22F2F4F6" w:rsidR="00A03C62" w:rsidRDefault="00A03C62" w:rsidP="00A03C62">
      <w:pPr>
        <w:pStyle w:val="Body"/>
      </w:pPr>
      <w:r>
        <w:t xml:space="preserve">The </w:t>
      </w:r>
      <w:r w:rsidR="000916AC">
        <w:t>state budget</w:t>
      </w:r>
      <w:r>
        <w:t xml:space="preserve"> eliminates deferrals by paying off the $11 billion K-12 </w:t>
      </w:r>
      <w:proofErr w:type="spellStart"/>
      <w:r>
        <w:t>interyear</w:t>
      </w:r>
      <w:proofErr w:type="spellEnd"/>
      <w:r>
        <w:t xml:space="preserve"> deferrals</w:t>
      </w:r>
      <w:r w:rsidR="00827555">
        <w:t>;</w:t>
      </w:r>
      <w:r>
        <w:t xml:space="preserve"> all funds are to be distributed </w:t>
      </w:r>
      <w:r w:rsidR="00827555">
        <w:t xml:space="preserve">in </w:t>
      </w:r>
      <w:r>
        <w:t>August 2021.</w:t>
      </w:r>
    </w:p>
    <w:p w14:paraId="28DE2293" w14:textId="358C0083" w:rsidR="00A03C62" w:rsidRDefault="00A03C62" w:rsidP="00A03C62">
      <w:pPr>
        <w:pStyle w:val="Body"/>
      </w:pPr>
      <w:r>
        <w:t xml:space="preserve">Included in the </w:t>
      </w:r>
      <w:r w:rsidR="00DE54E1">
        <w:t>Adopted Budget</w:t>
      </w:r>
      <w:r>
        <w:t xml:space="preserve"> </w:t>
      </w:r>
      <w:r w:rsidR="00827555">
        <w:t xml:space="preserve">is </w:t>
      </w:r>
      <w:r>
        <w:t xml:space="preserve">one-time funding for the following programs: </w:t>
      </w:r>
    </w:p>
    <w:tbl>
      <w:tblPr>
        <w:tblStyle w:val="GridTable6Colorful-Accent11"/>
        <w:tblW w:w="5000" w:type="pct"/>
        <w:tblLook w:val="04A0" w:firstRow="1" w:lastRow="0" w:firstColumn="1" w:lastColumn="0" w:noHBand="0" w:noVBand="1"/>
      </w:tblPr>
      <w:tblGrid>
        <w:gridCol w:w="4675"/>
        <w:gridCol w:w="4675"/>
      </w:tblGrid>
      <w:tr w:rsidR="00F76DFE" w:rsidRPr="00F76DFE" w14:paraId="4A76DC39" w14:textId="77777777" w:rsidTr="00F76DF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93BF52B" w14:textId="3A54E2C0" w:rsidR="00827555" w:rsidRPr="00F76DFE" w:rsidRDefault="00827555" w:rsidP="00000F1D">
            <w:pPr>
              <w:pStyle w:val="Body"/>
              <w:spacing w:before="60" w:after="60"/>
              <w:rPr>
                <w:color w:val="auto"/>
                <w:sz w:val="20"/>
                <w:szCs w:val="20"/>
              </w:rPr>
            </w:pPr>
            <w:r w:rsidRPr="00F76DFE">
              <w:rPr>
                <w:color w:val="auto"/>
                <w:sz w:val="20"/>
                <w:szCs w:val="20"/>
              </w:rPr>
              <w:t>Community Schools Partnerships</w:t>
            </w:r>
          </w:p>
        </w:tc>
        <w:tc>
          <w:tcPr>
            <w:tcW w:w="2500" w:type="pct"/>
            <w:vAlign w:val="center"/>
          </w:tcPr>
          <w:p w14:paraId="4C393A1A" w14:textId="526BB3D4" w:rsidR="00827555" w:rsidRPr="00F76DFE" w:rsidRDefault="002C71E3" w:rsidP="00000F1D">
            <w:pPr>
              <w:pStyle w:val="Body"/>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F76DFE">
              <w:rPr>
                <w:color w:val="auto"/>
                <w:sz w:val="20"/>
                <w:szCs w:val="20"/>
              </w:rPr>
              <w:t>Classified Summer Assistance Program</w:t>
            </w:r>
          </w:p>
        </w:tc>
      </w:tr>
      <w:tr w:rsidR="00F76DFE" w:rsidRPr="00F76DFE" w14:paraId="6AB117A1" w14:textId="77777777" w:rsidTr="00F76DF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CEB5C4F" w14:textId="34FE4ABD" w:rsidR="00827555" w:rsidRPr="00F76DFE" w:rsidRDefault="002C71E3" w:rsidP="00000F1D">
            <w:pPr>
              <w:pStyle w:val="Body"/>
              <w:spacing w:before="60" w:after="60"/>
              <w:rPr>
                <w:color w:val="auto"/>
                <w:sz w:val="20"/>
                <w:szCs w:val="20"/>
              </w:rPr>
            </w:pPr>
            <w:r w:rsidRPr="00F76DFE">
              <w:rPr>
                <w:color w:val="auto"/>
                <w:sz w:val="20"/>
                <w:szCs w:val="20"/>
              </w:rPr>
              <w:t>Expanded Learning Opportunities</w:t>
            </w:r>
          </w:p>
        </w:tc>
        <w:tc>
          <w:tcPr>
            <w:tcW w:w="2500" w:type="pct"/>
            <w:vAlign w:val="center"/>
          </w:tcPr>
          <w:p w14:paraId="7C412839" w14:textId="5A564598" w:rsidR="00827555" w:rsidRPr="00F76DFE" w:rsidRDefault="002C71E3" w:rsidP="00000F1D">
            <w:pPr>
              <w:pStyle w:val="Body"/>
              <w:spacing w:before="60" w:after="60"/>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76DFE">
              <w:rPr>
                <w:b/>
                <w:bCs/>
                <w:color w:val="auto"/>
                <w:sz w:val="20"/>
                <w:szCs w:val="20"/>
              </w:rPr>
              <w:t>A-G Completion Improvement</w:t>
            </w:r>
          </w:p>
        </w:tc>
      </w:tr>
      <w:tr w:rsidR="00F76DFE" w:rsidRPr="00F76DFE" w14:paraId="70C832B4" w14:textId="77777777" w:rsidTr="000916AC">
        <w:trPr>
          <w:trHeight w:val="36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26E45E52" w14:textId="3E89FB3F" w:rsidR="00827555" w:rsidRPr="00F76DFE" w:rsidRDefault="002C71E3" w:rsidP="00000F1D">
            <w:pPr>
              <w:pStyle w:val="Body"/>
              <w:spacing w:before="60" w:after="60"/>
              <w:rPr>
                <w:color w:val="auto"/>
                <w:sz w:val="20"/>
                <w:szCs w:val="20"/>
              </w:rPr>
            </w:pPr>
            <w:r w:rsidRPr="00F76DFE">
              <w:rPr>
                <w:color w:val="auto"/>
                <w:sz w:val="20"/>
                <w:szCs w:val="20"/>
              </w:rPr>
              <w:t>Pre-K Planning and Implementation</w:t>
            </w:r>
          </w:p>
        </w:tc>
        <w:tc>
          <w:tcPr>
            <w:tcW w:w="2500" w:type="pct"/>
            <w:vAlign w:val="center"/>
          </w:tcPr>
          <w:p w14:paraId="220339AC" w14:textId="7AD44CF5" w:rsidR="00827555" w:rsidRPr="00F76DFE" w:rsidRDefault="002C71E3" w:rsidP="00000F1D">
            <w:pPr>
              <w:pStyle w:val="Body"/>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F76DFE">
              <w:rPr>
                <w:b/>
                <w:bCs/>
                <w:color w:val="auto"/>
                <w:sz w:val="20"/>
                <w:szCs w:val="20"/>
              </w:rPr>
              <w:t>School Kitchen Upgrades</w:t>
            </w:r>
          </w:p>
        </w:tc>
      </w:tr>
      <w:tr w:rsidR="00F76DFE" w:rsidRPr="00F76DFE" w14:paraId="5070008B" w14:textId="77777777" w:rsidTr="00F76DF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B4E1E93" w14:textId="08C007A0" w:rsidR="00827555" w:rsidRPr="00F76DFE" w:rsidRDefault="002C71E3" w:rsidP="00000F1D">
            <w:pPr>
              <w:pStyle w:val="Body"/>
              <w:spacing w:before="60" w:after="60"/>
              <w:rPr>
                <w:color w:val="auto"/>
                <w:sz w:val="20"/>
                <w:szCs w:val="20"/>
              </w:rPr>
            </w:pPr>
            <w:r w:rsidRPr="00F76DFE">
              <w:rPr>
                <w:color w:val="auto"/>
                <w:sz w:val="20"/>
                <w:szCs w:val="20"/>
              </w:rPr>
              <w:t>Educator Preparation, Retention and Training</w:t>
            </w:r>
          </w:p>
        </w:tc>
        <w:tc>
          <w:tcPr>
            <w:tcW w:w="2500" w:type="pct"/>
            <w:vAlign w:val="center"/>
          </w:tcPr>
          <w:p w14:paraId="0EF7B88F" w14:textId="532675CA" w:rsidR="00827555" w:rsidRPr="00F76DFE" w:rsidRDefault="002C71E3" w:rsidP="00000F1D">
            <w:pPr>
              <w:pStyle w:val="Body"/>
              <w:spacing w:before="60" w:after="60"/>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76DFE">
              <w:rPr>
                <w:b/>
                <w:bCs/>
                <w:color w:val="auto"/>
                <w:sz w:val="20"/>
                <w:szCs w:val="20"/>
              </w:rPr>
              <w:t>Youth Behavioral Health</w:t>
            </w:r>
          </w:p>
        </w:tc>
      </w:tr>
      <w:tr w:rsidR="00F76DFE" w:rsidRPr="00F76DFE" w14:paraId="4D6305FE" w14:textId="77777777" w:rsidTr="000916AC">
        <w:trPr>
          <w:trHeight w:val="36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3D1AFFB" w14:textId="011175F7" w:rsidR="00F76DFE" w:rsidRPr="00F76DFE" w:rsidRDefault="00F76DFE" w:rsidP="00F76DFE">
            <w:pPr>
              <w:pStyle w:val="Body"/>
              <w:spacing w:before="60" w:after="60"/>
              <w:rPr>
                <w:color w:val="auto"/>
                <w:sz w:val="20"/>
                <w:szCs w:val="20"/>
              </w:rPr>
            </w:pPr>
            <w:r w:rsidRPr="00F76DFE">
              <w:rPr>
                <w:color w:val="auto"/>
                <w:sz w:val="20"/>
                <w:szCs w:val="20"/>
              </w:rPr>
              <w:t>Special Education Technical Assistance</w:t>
            </w:r>
          </w:p>
        </w:tc>
        <w:tc>
          <w:tcPr>
            <w:tcW w:w="2500" w:type="pct"/>
            <w:vAlign w:val="center"/>
          </w:tcPr>
          <w:p w14:paraId="4E592811" w14:textId="3E837E5A" w:rsidR="00F76DFE" w:rsidRPr="00F76DFE" w:rsidRDefault="00F76DFE" w:rsidP="00F76DFE">
            <w:pPr>
              <w:pStyle w:val="Body"/>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F76DFE">
              <w:rPr>
                <w:b/>
                <w:bCs/>
                <w:color w:val="auto"/>
                <w:sz w:val="20"/>
                <w:szCs w:val="20"/>
              </w:rPr>
              <w:t>Broadband</w:t>
            </w:r>
          </w:p>
        </w:tc>
      </w:tr>
    </w:tbl>
    <w:p w14:paraId="4874CBDF" w14:textId="63518391" w:rsidR="000916AC" w:rsidRDefault="000916AC" w:rsidP="00000F1D">
      <w:pPr>
        <w:pStyle w:val="Bodynospaceafterorbeforepara"/>
      </w:pPr>
    </w:p>
    <w:p w14:paraId="49313C86" w14:textId="77777777" w:rsidR="00F76DFE" w:rsidRDefault="00F76DFE" w:rsidP="00000F1D">
      <w:pPr>
        <w:pStyle w:val="Bodynospaceafterorbeforepara"/>
      </w:pPr>
    </w:p>
    <w:p w14:paraId="2B016038" w14:textId="43BE0978" w:rsidR="00D32518" w:rsidRPr="00000F1D" w:rsidRDefault="00D32518" w:rsidP="00000F1D">
      <w:pPr>
        <w:pStyle w:val="Body"/>
      </w:pPr>
      <w:r w:rsidRPr="00A55B61">
        <w:t>AB</w:t>
      </w:r>
      <w:r w:rsidR="000916AC" w:rsidRPr="00782DF2">
        <w:t xml:space="preserve"> </w:t>
      </w:r>
      <w:r w:rsidRPr="00782DF2">
        <w:t>130 eliminated two programs proposed in the May Revision: Targeted Intervention ($623 million) and In-Person Instruction Health and Safety ($2 billion) grants.</w:t>
      </w:r>
      <w:r w:rsidRPr="00000F1D">
        <w:t xml:space="preserve"> </w:t>
      </w:r>
    </w:p>
    <w:p w14:paraId="6A4F5AC1" w14:textId="42501035" w:rsidR="00CB7435" w:rsidRPr="008F1E58" w:rsidRDefault="00CB7435" w:rsidP="00000F1D">
      <w:pPr>
        <w:pStyle w:val="Body"/>
      </w:pPr>
      <w:r w:rsidRPr="00A55B61">
        <w:t xml:space="preserve">If the changes in the </w:t>
      </w:r>
      <w:r w:rsidR="000916AC" w:rsidRPr="00A55B61">
        <w:t>s</w:t>
      </w:r>
      <w:r w:rsidRPr="008F1E58">
        <w:t xml:space="preserve">tate </w:t>
      </w:r>
      <w:r w:rsidR="000916AC" w:rsidRPr="008F1E58">
        <w:t>b</w:t>
      </w:r>
      <w:r w:rsidRPr="008F1E58">
        <w:t xml:space="preserve">udget result in revisions to the </w:t>
      </w:r>
      <w:r w:rsidR="000916AC" w:rsidRPr="008F1E58">
        <w:t>d</w:t>
      </w:r>
      <w:r w:rsidRPr="008F1E58">
        <w:t xml:space="preserve">istrict’s </w:t>
      </w:r>
      <w:r w:rsidR="00DE54E1">
        <w:t>Adopted Budget</w:t>
      </w:r>
      <w:r w:rsidRPr="008F1E58">
        <w:t>, Education Code 42127(h) requires that not later than 45 days after the Governor signs the annual Budget Act, the school district shall make available for public review any revisions in revenues and expenditures it has made to its budget to reflect the funding made available by that Budget Act.</w:t>
      </w:r>
    </w:p>
    <w:p w14:paraId="63AE7708" w14:textId="25752D7F" w:rsidR="00CB7435" w:rsidRDefault="00CB7435">
      <w:pPr>
        <w:pStyle w:val="Body"/>
      </w:pPr>
      <w:r w:rsidRPr="00000F1D">
        <w:t>There is no requirement to use SACS for this budget update, nor to provide an update to the multiyear projection. The Governor signed the budget on June 2</w:t>
      </w:r>
      <w:r w:rsidR="007B6E7C" w:rsidRPr="00000F1D">
        <w:t>8</w:t>
      </w:r>
      <w:r w:rsidR="000916AC" w:rsidRPr="00000F1D">
        <w:t>,</w:t>
      </w:r>
      <w:r w:rsidRPr="00000F1D">
        <w:t xml:space="preserve"> which for most districts means that the 45</w:t>
      </w:r>
      <w:r w:rsidR="000916AC" w:rsidRPr="00000F1D">
        <w:t>-</w:t>
      </w:r>
      <w:r w:rsidRPr="00000F1D">
        <w:t>day revision requirements can be met at the August board meeting.</w:t>
      </w:r>
    </w:p>
    <w:p w14:paraId="48C5B4D3" w14:textId="5EF003D9" w:rsidR="0021020F" w:rsidRPr="003577D7" w:rsidRDefault="0021020F" w:rsidP="004C4038">
      <w:pPr>
        <w:pStyle w:val="Subhead1"/>
      </w:pPr>
      <w:bookmarkStart w:id="24" w:name="_Toc77836541"/>
      <w:bookmarkStart w:id="25" w:name="_Toc77838783"/>
      <w:bookmarkStart w:id="26" w:name="_Toc77843048"/>
      <w:r w:rsidRPr="003577D7">
        <w:t>Independent Study Requirements</w:t>
      </w:r>
      <w:bookmarkEnd w:id="19"/>
      <w:r w:rsidR="00A03C62">
        <w:t xml:space="preserve"> – AB 130</w:t>
      </w:r>
      <w:bookmarkEnd w:id="24"/>
      <w:bookmarkEnd w:id="25"/>
      <w:bookmarkEnd w:id="26"/>
    </w:p>
    <w:p w14:paraId="6BE965C2" w14:textId="60CD23EB" w:rsidR="00A03C62" w:rsidRPr="00000F1D" w:rsidRDefault="00A03C62" w:rsidP="00000F1D">
      <w:pPr>
        <w:pStyle w:val="Subhead4"/>
        <w:rPr>
          <w:b w:val="0"/>
        </w:rPr>
      </w:pPr>
      <w:r w:rsidRPr="00A55B61">
        <w:t xml:space="preserve">School </w:t>
      </w:r>
      <w:r w:rsidR="00BD5994" w:rsidRPr="00A55B61">
        <w:t>Y</w:t>
      </w:r>
      <w:r w:rsidRPr="00782DF2">
        <w:t>ear 2021-22</w:t>
      </w:r>
    </w:p>
    <w:p w14:paraId="73F1AAA6" w14:textId="5958BB8B" w:rsidR="00A03C62" w:rsidRPr="00782DF2" w:rsidRDefault="00A03C62" w:rsidP="00000F1D">
      <w:pPr>
        <w:pStyle w:val="Body"/>
      </w:pPr>
      <w:r w:rsidRPr="00A55B61">
        <w:t>AB</w:t>
      </w:r>
      <w:r w:rsidR="00A55B61" w:rsidRPr="00A55B61">
        <w:t xml:space="preserve"> </w:t>
      </w:r>
      <w:r w:rsidRPr="00A55B61">
        <w:t xml:space="preserve">130 amended </w:t>
      </w:r>
      <w:r w:rsidR="00782DF2">
        <w:t xml:space="preserve">Article 5.5 of the </w:t>
      </w:r>
      <w:r w:rsidRPr="00A55B61">
        <w:t xml:space="preserve">Education Code </w:t>
      </w:r>
      <w:r w:rsidR="00782DF2">
        <w:t xml:space="preserve">(commencing with section </w:t>
      </w:r>
      <w:r w:rsidRPr="00A55B61">
        <w:t>51745</w:t>
      </w:r>
      <w:r w:rsidR="00782DF2">
        <w:t>)</w:t>
      </w:r>
      <w:r w:rsidRPr="00A55B61">
        <w:t xml:space="preserve"> </w:t>
      </w:r>
      <w:r w:rsidR="00782DF2">
        <w:t xml:space="preserve">regarding </w:t>
      </w:r>
      <w:r w:rsidR="00E351B3">
        <w:t>i</w:t>
      </w:r>
      <w:r w:rsidR="00782DF2">
        <w:t xml:space="preserve">ndependent </w:t>
      </w:r>
      <w:r w:rsidR="00E351B3">
        <w:t>s</w:t>
      </w:r>
      <w:r w:rsidR="00782DF2">
        <w:t>tudy programs administered by school districts, COEs and charter schools (classroom-based and non-classroom-based).</w:t>
      </w:r>
      <w:r w:rsidR="00E900BC">
        <w:t xml:space="preserve"> For the 2021-22 school year only,</w:t>
      </w:r>
      <w:r w:rsidR="00782DF2" w:rsidRPr="00A55B61">
        <w:t xml:space="preserve"> </w:t>
      </w:r>
      <w:r w:rsidRPr="00A55B61">
        <w:t xml:space="preserve">school districts and </w:t>
      </w:r>
      <w:r w:rsidR="00E900BC">
        <w:t>COEs are required</w:t>
      </w:r>
      <w:r w:rsidRPr="00A55B61">
        <w:t xml:space="preserve"> to offer independent study </w:t>
      </w:r>
      <w:r w:rsidR="00E900BC">
        <w:t>to students</w:t>
      </w:r>
      <w:r w:rsidRPr="00A55B61">
        <w:t xml:space="preserve">. This requirement may be met by contracting with a </w:t>
      </w:r>
      <w:r w:rsidR="00782DF2">
        <w:t>COE</w:t>
      </w:r>
      <w:r w:rsidRPr="00A55B61">
        <w:t xml:space="preserve"> or by enterin</w:t>
      </w:r>
      <w:r w:rsidRPr="00782DF2">
        <w:t xml:space="preserve">g into an </w:t>
      </w:r>
      <w:proofErr w:type="spellStart"/>
      <w:r w:rsidRPr="00782DF2">
        <w:t>interdistrict</w:t>
      </w:r>
      <w:proofErr w:type="spellEnd"/>
      <w:r w:rsidRPr="00782DF2">
        <w:t xml:space="preserve"> transfer agreement with another school district pursuant to Ed</w:t>
      </w:r>
      <w:r w:rsidR="00782DF2">
        <w:t>ucation</w:t>
      </w:r>
      <w:r w:rsidRPr="00782DF2">
        <w:t xml:space="preserve"> Code section 46600.</w:t>
      </w:r>
    </w:p>
    <w:p w14:paraId="192CA728" w14:textId="3C1F9BD6" w:rsidR="00A03C62" w:rsidRPr="00A55B61" w:rsidRDefault="00A03C62" w:rsidP="00000F1D">
      <w:pPr>
        <w:pStyle w:val="Body"/>
      </w:pPr>
      <w:r w:rsidRPr="00000F1D">
        <w:lastRenderedPageBreak/>
        <w:t xml:space="preserve">The requirement may be waived for school districts by their county superintendent of schools and waived for </w:t>
      </w:r>
      <w:r w:rsidR="00782DF2">
        <w:t>COEs</w:t>
      </w:r>
      <w:r w:rsidRPr="00000F1D">
        <w:t xml:space="preserve"> and school districts in single-district counties by the Superintendent</w:t>
      </w:r>
      <w:r w:rsidR="00CB7435" w:rsidRPr="00000F1D">
        <w:t xml:space="preserve"> of </w:t>
      </w:r>
      <w:proofErr w:type="gramStart"/>
      <w:r w:rsidR="00CB7435" w:rsidRPr="00000F1D">
        <w:t>Public School</w:t>
      </w:r>
      <w:proofErr w:type="gramEnd"/>
      <w:r w:rsidR="00CB7435" w:rsidRPr="00000F1D">
        <w:t xml:space="preserve"> Instruction</w:t>
      </w:r>
      <w:r w:rsidRPr="00000F1D">
        <w:t>. The waiver request must demonstrate both of the following:</w:t>
      </w:r>
    </w:p>
    <w:p w14:paraId="61155EF4" w14:textId="55794D95" w:rsidR="00A03C62" w:rsidRPr="00A55B61" w:rsidRDefault="00A03C62" w:rsidP="00000F1D">
      <w:pPr>
        <w:pStyle w:val="Body"/>
        <w:ind w:left="720"/>
      </w:pPr>
      <w:r w:rsidRPr="00000F1D">
        <w:t>(1)</w:t>
      </w:r>
      <w:r w:rsidR="00782DF2">
        <w:t xml:space="preserve"> </w:t>
      </w:r>
      <w:r w:rsidRPr="00000F1D">
        <w:t xml:space="preserve">Offering independent study would create an unreasonable fiscal burden on the school district or </w:t>
      </w:r>
      <w:r w:rsidR="00782DF2">
        <w:t>COE</w:t>
      </w:r>
      <w:r w:rsidRPr="00000F1D">
        <w:t xml:space="preserve"> due to low numbers of pupils participating or other extenuating circumstances.</w:t>
      </w:r>
    </w:p>
    <w:p w14:paraId="0BE8A40A" w14:textId="62CE428E" w:rsidR="00A03C62" w:rsidRPr="00000F1D" w:rsidRDefault="00A03C62" w:rsidP="00000F1D">
      <w:pPr>
        <w:pStyle w:val="Body"/>
        <w:ind w:left="720"/>
      </w:pPr>
      <w:r w:rsidRPr="00000F1D">
        <w:t>(2)</w:t>
      </w:r>
      <w:r w:rsidR="00782DF2">
        <w:t xml:space="preserve"> </w:t>
      </w:r>
      <w:r w:rsidRPr="00000F1D">
        <w:t xml:space="preserve">The governing board of the school district or </w:t>
      </w:r>
      <w:r w:rsidR="00782DF2">
        <w:t>COE</w:t>
      </w:r>
      <w:r w:rsidRPr="00000F1D">
        <w:t xml:space="preserve"> does not have the option to enter into an </w:t>
      </w:r>
      <w:proofErr w:type="spellStart"/>
      <w:r w:rsidRPr="00000F1D">
        <w:t>interdistrict</w:t>
      </w:r>
      <w:proofErr w:type="spellEnd"/>
      <w:r w:rsidRPr="00000F1D">
        <w:t xml:space="preserve"> transfer agreement with another school district or to contract with a </w:t>
      </w:r>
      <w:r w:rsidR="00782DF2">
        <w:t>COE</w:t>
      </w:r>
      <w:r w:rsidRPr="00000F1D">
        <w:t xml:space="preserve"> to provide an independent study option, as described above.</w:t>
      </w:r>
    </w:p>
    <w:p w14:paraId="76E9CE99" w14:textId="2051538E" w:rsidR="00A03C62" w:rsidRPr="00782DF2" w:rsidRDefault="00A03C62" w:rsidP="00000F1D">
      <w:pPr>
        <w:pStyle w:val="Body"/>
      </w:pPr>
      <w:r w:rsidRPr="00A55B61">
        <w:t>For the 2021</w:t>
      </w:r>
      <w:r w:rsidR="00782DF2">
        <w:t>-</w:t>
      </w:r>
      <w:r w:rsidRPr="00A55B61">
        <w:t>22 school year only, a</w:t>
      </w:r>
      <w:r w:rsidR="00782DF2">
        <w:t>n LEA</w:t>
      </w:r>
      <w:r w:rsidRPr="00A55B61">
        <w:t xml:space="preserve"> has up to 30 days after the first day of instruction to obtain the signed written agreement</w:t>
      </w:r>
      <w:r w:rsidR="00CB7435" w:rsidRPr="00782DF2">
        <w:t xml:space="preserve"> (more details forthcoming)</w:t>
      </w:r>
      <w:r w:rsidRPr="00782DF2">
        <w:t xml:space="preserve">. </w:t>
      </w:r>
      <w:r w:rsidR="00E900BC">
        <w:t>Law permits the use of electronic signatures in the format determined by the CDE. Written agreements must be signed by the student, or the student’s parent or legal guardian if the student is less than 18 years of age, the general supervising teacher, and all persons with direct responsibility for the student. Although LEAs are granted a grace period to collect signed agreements for the 2021-22 school year, they are required to meet all programmatic requirements as enacted by law on July 9, 2021.</w:t>
      </w:r>
    </w:p>
    <w:p w14:paraId="02A7C1EA" w14:textId="4DA3A9B1" w:rsidR="00A03C62" w:rsidRPr="00782DF2" w:rsidRDefault="00A03C62" w:rsidP="00000F1D">
      <w:pPr>
        <w:pStyle w:val="Body"/>
      </w:pPr>
      <w:r w:rsidRPr="00782DF2">
        <w:t>For the 2021</w:t>
      </w:r>
      <w:r w:rsidR="00782DF2">
        <w:t>-</w:t>
      </w:r>
      <w:r w:rsidRPr="008F1E58">
        <w:t xml:space="preserve">22 school year only, school districts and </w:t>
      </w:r>
      <w:r w:rsidR="00782DF2">
        <w:t>COEs</w:t>
      </w:r>
      <w:r w:rsidRPr="00782DF2">
        <w:t xml:space="preserve"> shall notify the parents and guardians of all enrolled pupils of their options to enroll their child in in-person instruction or independent study. This notice shall include written information on the </w:t>
      </w:r>
      <w:r w:rsidR="00782DF2">
        <w:t>LEA</w:t>
      </w:r>
      <w:r w:rsidRPr="00782DF2">
        <w:t>’s website including, but not limited to, the right to request a pupil-parent-educator conference meeting before enrollment pursuant to this section</w:t>
      </w:r>
      <w:r w:rsidR="00782DF2">
        <w:t>;</w:t>
      </w:r>
      <w:r w:rsidRPr="00782DF2">
        <w:t xml:space="preserve"> pupil rights regarding procedures for enrolling, disenrolling, and reenrolling in independent study</w:t>
      </w:r>
      <w:r w:rsidR="00782DF2">
        <w:t>;</w:t>
      </w:r>
      <w:r w:rsidRPr="00782DF2">
        <w:t xml:space="preserve"> and the synchronous and asynchronous instructional time that a pupil will have access to as part of independent study. </w:t>
      </w:r>
    </w:p>
    <w:p w14:paraId="78C6EB12" w14:textId="2B41506F" w:rsidR="00A03C62" w:rsidRPr="006155E0" w:rsidRDefault="00E351B3" w:rsidP="00000F1D">
      <w:pPr>
        <w:pStyle w:val="Body"/>
      </w:pPr>
      <w:r>
        <w:t>Additionally,</w:t>
      </w:r>
      <w:r w:rsidR="00866EB1" w:rsidRPr="00782DF2">
        <w:t xml:space="preserve"> </w:t>
      </w:r>
      <w:r>
        <w:t>s</w:t>
      </w:r>
      <w:r w:rsidR="00866EB1" w:rsidRPr="00782DF2">
        <w:t>ection 51747 add</w:t>
      </w:r>
      <w:r>
        <w:t>s</w:t>
      </w:r>
      <w:r w:rsidR="00866EB1" w:rsidRPr="00782DF2">
        <w:t xml:space="preserve"> </w:t>
      </w:r>
      <w:r>
        <w:t>a</w:t>
      </w:r>
      <w:r w:rsidR="00866EB1" w:rsidRPr="00782DF2">
        <w:t xml:space="preserve"> meeting requirement that, </w:t>
      </w:r>
      <w:r w:rsidR="00A03C62" w:rsidRPr="00782DF2">
        <w:t xml:space="preserve">prior to signing a written agreement and upon the request of the parent or guardian of a pupil, the </w:t>
      </w:r>
      <w:r w:rsidR="00782DF2">
        <w:t>LEA</w:t>
      </w:r>
      <w:r w:rsidR="00A03C62" w:rsidRPr="00782DF2">
        <w:t xml:space="preserve"> shall conduct a phone, videoconference, or in-person pupil-parent-educator conference or other school meeting during which the pupil, parent or guardian, and, if requested by the pupil or parent, an education advocate, may ask questions about the educational options, including which curriculum offerings and nonacademic supports wil</w:t>
      </w:r>
      <w:r w:rsidR="00A03C62" w:rsidRPr="00E351B3">
        <w:t>l be available to the pupil in independent study, before making the decision about enrollment or disenrollment in the various options for learning.</w:t>
      </w:r>
    </w:p>
    <w:p w14:paraId="0235132C" w14:textId="48E4745E" w:rsidR="00A03C62" w:rsidRPr="00A55B61" w:rsidRDefault="00A03C62" w:rsidP="00000F1D">
      <w:pPr>
        <w:pStyle w:val="Subhead4"/>
      </w:pPr>
      <w:r w:rsidRPr="00000F1D">
        <w:t xml:space="preserve">Permanent </w:t>
      </w:r>
      <w:r w:rsidR="00A55B61">
        <w:t>C</w:t>
      </w:r>
      <w:r w:rsidRPr="00000F1D">
        <w:t xml:space="preserve">hanges to Independent Study </w:t>
      </w:r>
      <w:r w:rsidR="00A55B61">
        <w:t>R</w:t>
      </w:r>
      <w:r w:rsidRPr="00000F1D">
        <w:t xml:space="preserve">equirements </w:t>
      </w:r>
      <w:r w:rsidR="00A55B61">
        <w:t>B</w:t>
      </w:r>
      <w:r w:rsidRPr="00000F1D">
        <w:t>eginning in 2021-22</w:t>
      </w:r>
    </w:p>
    <w:p w14:paraId="492D2C51" w14:textId="7F5124B1" w:rsidR="00A03C62" w:rsidRDefault="00A03C62" w:rsidP="00000F1D">
      <w:pPr>
        <w:pStyle w:val="Body"/>
      </w:pPr>
      <w:r w:rsidRPr="00A03C62">
        <w:rPr>
          <w:b/>
          <w:bCs/>
        </w:rPr>
        <w:t xml:space="preserve">Offering </w:t>
      </w:r>
      <w:r w:rsidR="00782DF2">
        <w:rPr>
          <w:b/>
          <w:bCs/>
        </w:rPr>
        <w:t>–</w:t>
      </w:r>
      <w:r w:rsidRPr="00A03C62">
        <w:rPr>
          <w:b/>
          <w:bCs/>
        </w:rPr>
        <w:t xml:space="preserve"> </w:t>
      </w:r>
      <w:r w:rsidRPr="00A03C62">
        <w:t>The list of educational opportunities that may be offered through independent study is expanded to include individualized study for a pupil whose health would be at risk by in-person instruction, as determined by the parent or guardian of the pupil.</w:t>
      </w:r>
    </w:p>
    <w:p w14:paraId="65BAAE77" w14:textId="1CE572F2" w:rsidR="00C97E5D" w:rsidRDefault="00C97E5D" w:rsidP="00000F1D">
      <w:pPr>
        <w:pStyle w:val="Body"/>
      </w:pPr>
      <w:bookmarkStart w:id="27" w:name="_Hlk77277269"/>
      <w:r>
        <w:rPr>
          <w:b/>
          <w:bCs/>
        </w:rPr>
        <w:t>Course-Based</w:t>
      </w:r>
      <w:r w:rsidR="00866EB1">
        <w:rPr>
          <w:b/>
          <w:bCs/>
        </w:rPr>
        <w:t xml:space="preserve"> Independent Study</w:t>
      </w:r>
      <w:r>
        <w:rPr>
          <w:b/>
          <w:bCs/>
        </w:rPr>
        <w:t xml:space="preserve"> (CBIS) – </w:t>
      </w:r>
      <w:r>
        <w:t>These programs have slightly different requirements:</w:t>
      </w:r>
    </w:p>
    <w:p w14:paraId="266D16A3" w14:textId="14498FF6" w:rsidR="00E351B3" w:rsidRPr="00740E1B" w:rsidRDefault="00E351B3" w:rsidP="00000F1D">
      <w:pPr>
        <w:pStyle w:val="Bullet"/>
      </w:pPr>
      <w:r w:rsidRPr="00740E1B">
        <w:t>No requirement to conduct a pupil-parent-educator conference prior to the signing of a written agreement.</w:t>
      </w:r>
    </w:p>
    <w:p w14:paraId="1A761065" w14:textId="65247CA6" w:rsidR="00E351B3" w:rsidRPr="00740E1B" w:rsidRDefault="00E351B3" w:rsidP="00000F1D">
      <w:pPr>
        <w:pStyle w:val="Bullet"/>
      </w:pPr>
      <w:r w:rsidRPr="00740E1B">
        <w:lastRenderedPageBreak/>
        <w:t>No requirement to document student participation in live interaction and synchronous instruction.</w:t>
      </w:r>
    </w:p>
    <w:p w14:paraId="570A16C4" w14:textId="66F9A5BE" w:rsidR="00C97E5D" w:rsidRPr="008F1E58" w:rsidRDefault="00C97E5D" w:rsidP="00000F1D">
      <w:pPr>
        <w:pStyle w:val="Bullet"/>
      </w:pPr>
      <w:r w:rsidRPr="00353C80">
        <w:t>Tiered reengagement triggered when student i</w:t>
      </w:r>
      <w:r w:rsidR="00E351B3" w:rsidRPr="003C0D17">
        <w:t>s</w:t>
      </w:r>
      <w:r w:rsidRPr="008F1E58">
        <w:t xml:space="preserve"> not making satisfactory progress or is in violation of learning agreement</w:t>
      </w:r>
      <w:r w:rsidR="00E351B3" w:rsidRPr="008F1E58">
        <w:t xml:space="preserve"> without the requirement to notify parents of absences or lack of participation within one school day of an absence or lack of participation</w:t>
      </w:r>
      <w:r w:rsidRPr="008F1E58">
        <w:t>.</w:t>
      </w:r>
    </w:p>
    <w:p w14:paraId="4E13B798" w14:textId="0C5D44BD" w:rsidR="00C97E5D" w:rsidRPr="008F1E58" w:rsidRDefault="00C97E5D" w:rsidP="00000F1D">
      <w:pPr>
        <w:pStyle w:val="Bullet"/>
      </w:pPr>
      <w:r w:rsidRPr="008F1E58">
        <w:t>Signed written agreements, supplemental agreements, assignment records, work samples, and attendance records assessing time value of work can be maintained as electronic files.</w:t>
      </w:r>
    </w:p>
    <w:p w14:paraId="7122AF0B" w14:textId="4BB2B1C6" w:rsidR="002E351E" w:rsidRPr="008F1E58" w:rsidRDefault="002E351E" w:rsidP="00000F1D">
      <w:pPr>
        <w:pStyle w:val="Bullet"/>
      </w:pPr>
      <w:r w:rsidRPr="008F1E58">
        <w:t>Students enrolled in CBIS for less than 15 school days in a school year are not exempt from live interaction, synchronous instruction, tiered reengagement, and transition plan requirements.</w:t>
      </w:r>
    </w:p>
    <w:bookmarkEnd w:id="27"/>
    <w:p w14:paraId="6509F525" w14:textId="2D6FDA91" w:rsidR="00A03C62" w:rsidRPr="00A03C62" w:rsidRDefault="00A03C62" w:rsidP="00A03C62">
      <w:pPr>
        <w:rPr>
          <w:rFonts w:ascii="Times New Roman" w:eastAsia="Times New Roman" w:hAnsi="Times New Roman" w:cs="Times New Roman"/>
          <w:color w:val="000000"/>
          <w:sz w:val="24"/>
          <w:szCs w:val="24"/>
        </w:rPr>
      </w:pPr>
      <w:r w:rsidRPr="00A03C62">
        <w:rPr>
          <w:rFonts w:ascii="Times New Roman" w:eastAsia="Times New Roman" w:hAnsi="Times New Roman" w:cs="Times New Roman"/>
          <w:b/>
          <w:bCs/>
          <w:color w:val="000000"/>
          <w:sz w:val="24"/>
          <w:szCs w:val="24"/>
        </w:rPr>
        <w:t xml:space="preserve">Audit </w:t>
      </w:r>
      <w:r w:rsidR="002E351E">
        <w:rPr>
          <w:rFonts w:ascii="Times New Roman" w:hAnsi="Times New Roman" w:cs="Times New Roman"/>
          <w:b/>
          <w:bCs/>
          <w:sz w:val="24"/>
          <w:szCs w:val="24"/>
        </w:rPr>
        <w:t>–</w:t>
      </w:r>
      <w:r w:rsidRPr="00A03C62">
        <w:rPr>
          <w:rFonts w:ascii="Times New Roman" w:eastAsia="Times New Roman" w:hAnsi="Times New Roman" w:cs="Times New Roman"/>
          <w:b/>
          <w:bCs/>
          <w:color w:val="000000"/>
          <w:sz w:val="24"/>
          <w:szCs w:val="24"/>
        </w:rPr>
        <w:t xml:space="preserve"> </w:t>
      </w:r>
      <w:r w:rsidRPr="00A03C62">
        <w:rPr>
          <w:rFonts w:ascii="Times New Roman" w:eastAsia="Times New Roman" w:hAnsi="Times New Roman" w:cs="Times New Roman"/>
          <w:color w:val="000000"/>
          <w:sz w:val="24"/>
          <w:szCs w:val="24"/>
        </w:rPr>
        <w:t>Commencing with the 2021</w:t>
      </w:r>
      <w:r w:rsidR="00740E1B">
        <w:rPr>
          <w:rFonts w:ascii="Times New Roman" w:eastAsia="Times New Roman" w:hAnsi="Times New Roman" w:cs="Times New Roman"/>
          <w:color w:val="000000"/>
          <w:sz w:val="24"/>
          <w:szCs w:val="24"/>
        </w:rPr>
        <w:t>-</w:t>
      </w:r>
      <w:r w:rsidRPr="00A03C62">
        <w:rPr>
          <w:rFonts w:ascii="Times New Roman" w:eastAsia="Times New Roman" w:hAnsi="Times New Roman" w:cs="Times New Roman"/>
          <w:color w:val="000000"/>
          <w:sz w:val="24"/>
          <w:szCs w:val="24"/>
        </w:rPr>
        <w:t>22 fiscal year</w:t>
      </w:r>
      <w:r w:rsidR="00740E1B">
        <w:rPr>
          <w:rFonts w:ascii="Times New Roman" w:eastAsia="Times New Roman" w:hAnsi="Times New Roman" w:cs="Times New Roman"/>
          <w:color w:val="000000"/>
          <w:sz w:val="24"/>
          <w:szCs w:val="24"/>
        </w:rPr>
        <w:t>,</w:t>
      </w:r>
      <w:r w:rsidRPr="00A03C62">
        <w:rPr>
          <w:rFonts w:ascii="Times New Roman" w:eastAsia="Times New Roman" w:hAnsi="Times New Roman" w:cs="Times New Roman"/>
          <w:color w:val="000000"/>
          <w:sz w:val="24"/>
          <w:szCs w:val="24"/>
        </w:rPr>
        <w:t xml:space="preserve"> the K-12 Audit Guide compliance steps for independent study will include the following elements:</w:t>
      </w:r>
    </w:p>
    <w:p w14:paraId="4A0E757E" w14:textId="693495BE" w:rsidR="00A03C62" w:rsidRPr="00740E1B" w:rsidRDefault="00A03C62" w:rsidP="00000F1D">
      <w:pPr>
        <w:pStyle w:val="Bullet"/>
      </w:pPr>
      <w:r w:rsidRPr="00740E1B">
        <w:t>Verification of the ratio of certificated teachers to pupils engaged in independent study, including fiscal penalties for noncompliance.</w:t>
      </w:r>
      <w:r w:rsidR="001958F9" w:rsidRPr="00740E1B">
        <w:t xml:space="preserve"> (This is the only audit requirement that applies to CBIS.)</w:t>
      </w:r>
    </w:p>
    <w:p w14:paraId="27BE2F94" w14:textId="32DBBB9C" w:rsidR="00A03C62" w:rsidRPr="008F1E58" w:rsidRDefault="00A03C62" w:rsidP="00000F1D">
      <w:pPr>
        <w:pStyle w:val="Bullet"/>
      </w:pPr>
      <w:r w:rsidRPr="00740E1B">
        <w:t xml:space="preserve"> Verification of the adoption of the policies required for </w:t>
      </w:r>
      <w:r w:rsidR="00E900BC" w:rsidRPr="00740E1B">
        <w:t>i</w:t>
      </w:r>
      <w:r w:rsidRPr="008F1E58">
        <w:t xml:space="preserve">ndependent </w:t>
      </w:r>
      <w:r w:rsidR="00E900BC" w:rsidRPr="008F1E58">
        <w:t>s</w:t>
      </w:r>
      <w:r w:rsidRPr="008F1E58">
        <w:t xml:space="preserve">tudy, including loss of apportionment for independent study for </w:t>
      </w:r>
      <w:r w:rsidR="001958F9" w:rsidRPr="008F1E58">
        <w:t>LEAs</w:t>
      </w:r>
      <w:r w:rsidRPr="008F1E58">
        <w:t xml:space="preserve"> found to be noncompliant. </w:t>
      </w:r>
    </w:p>
    <w:p w14:paraId="4633FB36" w14:textId="77777777" w:rsidR="00A03C62" w:rsidRPr="008F1E58" w:rsidRDefault="00A03C62" w:rsidP="00000F1D">
      <w:pPr>
        <w:pStyle w:val="Bullet"/>
      </w:pPr>
      <w:r w:rsidRPr="008F1E58">
        <w:t>Verification of engagement, participation and synchronous instruction requirements.</w:t>
      </w:r>
    </w:p>
    <w:p w14:paraId="5339142B" w14:textId="77777777" w:rsidR="00A03C62" w:rsidRPr="008F1E58" w:rsidRDefault="00A03C62" w:rsidP="00000F1D">
      <w:pPr>
        <w:pStyle w:val="Bullet"/>
      </w:pPr>
      <w:r w:rsidRPr="008F1E58">
        <w:t>Verification that written policies incorporate the newly required elements.</w:t>
      </w:r>
    </w:p>
    <w:p w14:paraId="4FC78F62" w14:textId="022FF2A6" w:rsidR="00A03C62" w:rsidRPr="008F1E58" w:rsidRDefault="00A03C62" w:rsidP="00000F1D">
      <w:pPr>
        <w:pStyle w:val="Bullet"/>
      </w:pPr>
      <w:bookmarkStart w:id="28" w:name="_Hlk77023971"/>
      <w:r w:rsidRPr="008F1E58">
        <w:t xml:space="preserve">The requirements for tiered reengagement procedures, synchronous instruction offerings, and a plan to provide a transition in no more than five days for pupils whose families </w:t>
      </w:r>
      <w:r w:rsidR="00866EB1" w:rsidRPr="008F1E58">
        <w:t>choose</w:t>
      </w:r>
      <w:r w:rsidRPr="008F1E58">
        <w:t xml:space="preserve"> </w:t>
      </w:r>
      <w:r w:rsidR="001958F9" w:rsidRPr="008F1E58">
        <w:t xml:space="preserve">to </w:t>
      </w:r>
      <w:r w:rsidRPr="008F1E58">
        <w:t>return to in-person instruction shall not apply to pupils that participate in an independent study program for fewer than 15 days in a school</w:t>
      </w:r>
      <w:r w:rsidR="001958F9" w:rsidRPr="008F1E58">
        <w:t xml:space="preserve"> </w:t>
      </w:r>
      <w:r w:rsidRPr="008F1E58">
        <w:t>year.</w:t>
      </w:r>
    </w:p>
    <w:bookmarkEnd w:id="28"/>
    <w:p w14:paraId="35D493AB" w14:textId="7AE75F5D" w:rsidR="00A03C62" w:rsidRPr="00A03C62" w:rsidRDefault="00A03C62" w:rsidP="00A03C62">
      <w:pPr>
        <w:rPr>
          <w:rFonts w:ascii="Times New Roman" w:eastAsia="Times New Roman" w:hAnsi="Times New Roman" w:cs="Times New Roman"/>
          <w:color w:val="000000"/>
          <w:sz w:val="24"/>
          <w:szCs w:val="24"/>
        </w:rPr>
      </w:pPr>
      <w:r w:rsidRPr="00A03C62">
        <w:rPr>
          <w:rFonts w:ascii="Times New Roman" w:eastAsia="Times New Roman" w:hAnsi="Times New Roman" w:cs="Times New Roman"/>
          <w:b/>
          <w:bCs/>
          <w:color w:val="000000"/>
          <w:sz w:val="24"/>
          <w:szCs w:val="24"/>
        </w:rPr>
        <w:t xml:space="preserve">Written policies </w:t>
      </w:r>
      <w:r w:rsidR="002E351E">
        <w:rPr>
          <w:rFonts w:ascii="Times New Roman" w:hAnsi="Times New Roman" w:cs="Times New Roman"/>
          <w:b/>
          <w:bCs/>
          <w:sz w:val="24"/>
          <w:szCs w:val="24"/>
        </w:rPr>
        <w:t>–</w:t>
      </w:r>
      <w:r w:rsidRPr="00A03C62">
        <w:rPr>
          <w:rFonts w:ascii="Times New Roman" w:eastAsia="Times New Roman" w:hAnsi="Times New Roman" w:cs="Times New Roman"/>
          <w:b/>
          <w:bCs/>
          <w:color w:val="000000"/>
          <w:sz w:val="24"/>
          <w:szCs w:val="24"/>
        </w:rPr>
        <w:t xml:space="preserve"> </w:t>
      </w:r>
      <w:r w:rsidR="0080185F">
        <w:rPr>
          <w:rFonts w:ascii="Times New Roman" w:eastAsia="Times New Roman" w:hAnsi="Times New Roman" w:cs="Times New Roman"/>
          <w:color w:val="000000"/>
          <w:sz w:val="24"/>
          <w:szCs w:val="24"/>
        </w:rPr>
        <w:t>E</w:t>
      </w:r>
      <w:r w:rsidRPr="00A03C62">
        <w:rPr>
          <w:rFonts w:ascii="Times New Roman" w:eastAsia="Times New Roman" w:hAnsi="Times New Roman" w:cs="Times New Roman"/>
          <w:color w:val="000000"/>
          <w:sz w:val="24"/>
          <w:szCs w:val="24"/>
        </w:rPr>
        <w:t>xpands upon the elements that must be included</w:t>
      </w:r>
      <w:r w:rsidR="0080185F">
        <w:rPr>
          <w:rFonts w:ascii="Times New Roman" w:eastAsia="Times New Roman" w:hAnsi="Times New Roman" w:cs="Times New Roman"/>
          <w:color w:val="000000"/>
          <w:sz w:val="24"/>
          <w:szCs w:val="24"/>
        </w:rPr>
        <w:t xml:space="preserve"> in written and implemented policies as follows:</w:t>
      </w:r>
    </w:p>
    <w:p w14:paraId="3731E4A2" w14:textId="22CF81DA" w:rsidR="00A03C62" w:rsidRPr="008F1E58" w:rsidRDefault="00A03C62" w:rsidP="00000F1D">
      <w:pPr>
        <w:pStyle w:val="Bullet"/>
      </w:pPr>
      <w:r w:rsidRPr="00740E1B">
        <w:t xml:space="preserve">The level of satisfactory educational progress as well as the number of missed assignments must be evaluated when determining if the pupil’s best interest is to remain in </w:t>
      </w:r>
      <w:r w:rsidR="00E900BC" w:rsidRPr="00740E1B">
        <w:t>i</w:t>
      </w:r>
      <w:r w:rsidRPr="008F1E58">
        <w:t xml:space="preserve">ndependent </w:t>
      </w:r>
      <w:r w:rsidR="00E900BC" w:rsidRPr="008F1E58">
        <w:t>s</w:t>
      </w:r>
      <w:r w:rsidRPr="008F1E58">
        <w:t>tudy. Satisfactory educational progress shall be determined based on all of the following indicators:</w:t>
      </w:r>
    </w:p>
    <w:p w14:paraId="101CE8B5" w14:textId="422C8ED3" w:rsidR="00A03C62" w:rsidRPr="00740E1B" w:rsidRDefault="00A03C62" w:rsidP="00000F1D">
      <w:pPr>
        <w:pStyle w:val="bulletindent"/>
      </w:pPr>
      <w:r w:rsidRPr="00740E1B">
        <w:t xml:space="preserve">The pupil’s achievement and engagement in the independent study program, as indicated by the pupil’s performance on applicable pupil-level measures of pupil achievement and pupil engagement set forth in paragraphs (4) and (5) of subdivision (d) of </w:t>
      </w:r>
      <w:r w:rsidR="00C509FE">
        <w:t>s</w:t>
      </w:r>
      <w:r w:rsidRPr="00740E1B">
        <w:t>ection 52060.</w:t>
      </w:r>
    </w:p>
    <w:p w14:paraId="401810AA" w14:textId="77777777" w:rsidR="00A03C62" w:rsidRPr="00740E1B" w:rsidRDefault="00A03C62" w:rsidP="00000F1D">
      <w:pPr>
        <w:pStyle w:val="bulletindent"/>
      </w:pPr>
      <w:r w:rsidRPr="00740E1B">
        <w:t>The completion of assignments, assessments, or other indicators that evidence that the pupil is working on assignments.</w:t>
      </w:r>
    </w:p>
    <w:p w14:paraId="76442A56" w14:textId="77777777" w:rsidR="00A03C62" w:rsidRPr="003C0D17" w:rsidRDefault="00A03C62" w:rsidP="00000F1D">
      <w:pPr>
        <w:pStyle w:val="bulletindent"/>
      </w:pPr>
      <w:r w:rsidRPr="00353C80">
        <w:t>Learning required concepts, as determined by the supervising teacher.</w:t>
      </w:r>
    </w:p>
    <w:p w14:paraId="30192A9E" w14:textId="77777777" w:rsidR="00A03C62" w:rsidRPr="00FC6A13" w:rsidRDefault="00A03C62" w:rsidP="00000F1D">
      <w:pPr>
        <w:pStyle w:val="bulletindent"/>
      </w:pPr>
      <w:r w:rsidRPr="003C0D17">
        <w:t xml:space="preserve">Progressing toward successful completion of the course of study or individual course, as determined by the </w:t>
      </w:r>
      <w:r w:rsidRPr="00FC6A13">
        <w:t>supervising teacher.</w:t>
      </w:r>
    </w:p>
    <w:p w14:paraId="5084AF29" w14:textId="0020403C" w:rsidR="00A03C62" w:rsidRPr="008F1E58" w:rsidRDefault="00A03C62" w:rsidP="00000F1D">
      <w:pPr>
        <w:pStyle w:val="Bullet"/>
      </w:pPr>
      <w:r w:rsidRPr="008F1E58">
        <w:lastRenderedPageBreak/>
        <w:t xml:space="preserve">The provision of content aligned to grade level standards that is provided at a level of quality and intellectual challenge substantially equivalent to in-person instruction. For high schools, this shall include access to all courses offered by the </w:t>
      </w:r>
      <w:r w:rsidR="001958F9" w:rsidRPr="008F1E58">
        <w:t>LEA</w:t>
      </w:r>
      <w:r w:rsidRPr="008F1E58">
        <w:t xml:space="preserve"> for graduation and approved by the University of California or the California State University as creditable under the A–G admissions criteria.</w:t>
      </w:r>
    </w:p>
    <w:p w14:paraId="0D40A7D7" w14:textId="704CE402" w:rsidR="00A03C62" w:rsidRPr="008F1E58" w:rsidRDefault="00A03C62" w:rsidP="00000F1D">
      <w:pPr>
        <w:pStyle w:val="Bullet"/>
      </w:pPr>
      <w:r w:rsidRPr="008F1E58">
        <w:t>Procedures for tiered reengagement strategies for all pupils who are not generating attendance for more than three school</w:t>
      </w:r>
      <w:r w:rsidR="001958F9" w:rsidRPr="008F1E58">
        <w:t xml:space="preserve"> </w:t>
      </w:r>
      <w:r w:rsidRPr="008F1E58">
        <w:t>days or 60</w:t>
      </w:r>
      <w:r w:rsidR="001958F9" w:rsidRPr="008F1E58">
        <w:t>%</w:t>
      </w:r>
      <w:r w:rsidRPr="008F1E58">
        <w:t xml:space="preserve"> of the instructional days in a school week, or who are in violation of the written agreement pursuant to subdivision (g). These procedures shall include, but are not necessarily limited to, all of the following:</w:t>
      </w:r>
    </w:p>
    <w:p w14:paraId="0473A4D2" w14:textId="50D412FE" w:rsidR="00A03C62" w:rsidRPr="008F1E58" w:rsidRDefault="00A03C62" w:rsidP="00000F1D">
      <w:pPr>
        <w:pStyle w:val="Body"/>
        <w:ind w:left="360"/>
      </w:pPr>
      <w:r w:rsidRPr="008F1E58">
        <w:t>(1)</w:t>
      </w:r>
      <w:r w:rsidR="00C509FE">
        <w:t xml:space="preserve"> </w:t>
      </w:r>
      <w:r w:rsidRPr="008F1E58">
        <w:t>Verification of current contact information for each enrolled pupil.</w:t>
      </w:r>
    </w:p>
    <w:p w14:paraId="6386CB3A" w14:textId="72E982A5" w:rsidR="00A03C62" w:rsidRPr="008F1E58" w:rsidRDefault="00A03C62" w:rsidP="00000F1D">
      <w:pPr>
        <w:pStyle w:val="Body"/>
        <w:ind w:left="360"/>
      </w:pPr>
      <w:r w:rsidRPr="008F1E58">
        <w:t>(2)</w:t>
      </w:r>
      <w:r w:rsidR="00C509FE">
        <w:t xml:space="preserve"> </w:t>
      </w:r>
      <w:r w:rsidRPr="008F1E58">
        <w:t>Notification to parents or guardians of lack of participation within one school day of the absence or lack of participation.</w:t>
      </w:r>
    </w:p>
    <w:p w14:paraId="452F6017" w14:textId="0345F51F" w:rsidR="00A03C62" w:rsidRPr="008F1E58" w:rsidRDefault="00A03C62" w:rsidP="00000F1D">
      <w:pPr>
        <w:pStyle w:val="Body"/>
        <w:ind w:left="360"/>
      </w:pPr>
      <w:r w:rsidRPr="008F1E58">
        <w:t>(3)</w:t>
      </w:r>
      <w:r w:rsidR="00C509FE">
        <w:t xml:space="preserve"> </w:t>
      </w:r>
      <w:r w:rsidRPr="008F1E58">
        <w:t>A plan for outreach from the school to determine pupil needs, including connection with health and social services as necessary.</w:t>
      </w:r>
    </w:p>
    <w:p w14:paraId="45861B09" w14:textId="072EEF82" w:rsidR="00A03C62" w:rsidRPr="008F1E58" w:rsidRDefault="00A03C62" w:rsidP="00000F1D">
      <w:pPr>
        <w:pStyle w:val="Body"/>
        <w:ind w:left="360"/>
      </w:pPr>
      <w:r w:rsidRPr="008F1E58">
        <w:t>(4)</w:t>
      </w:r>
      <w:r w:rsidR="00C509FE">
        <w:t xml:space="preserve"> </w:t>
      </w:r>
      <w:r w:rsidRPr="008F1E58">
        <w:t>A clear standard for requiring a pupil-parent-educator conference to review a pupil’s written agreement and reconsider the independent study program’s impact on the pupil’s achievement and well-being, consistent with the policies adopted pursuant to paragraph (4) of subdivision (g).</w:t>
      </w:r>
    </w:p>
    <w:p w14:paraId="527832F2" w14:textId="6944448A" w:rsidR="006155E0" w:rsidRPr="00000F1D" w:rsidRDefault="006155E0" w:rsidP="00000F1D">
      <w:pPr>
        <w:pStyle w:val="Body"/>
      </w:pPr>
      <w:r>
        <w:tab/>
      </w:r>
      <w:r w:rsidRPr="00740E1B">
        <w:t>See CBIS for tiered reengagement requirements that apply to CBIS students.</w:t>
      </w:r>
    </w:p>
    <w:p w14:paraId="44C80974" w14:textId="77777777" w:rsidR="00A03C62" w:rsidRPr="00740E1B" w:rsidRDefault="00A03C62" w:rsidP="00000F1D">
      <w:pPr>
        <w:pStyle w:val="Bullet"/>
      </w:pPr>
      <w:r w:rsidRPr="00740E1B" w:rsidDel="00631AE4">
        <w:t xml:space="preserve"> </w:t>
      </w:r>
      <w:r w:rsidRPr="00740E1B">
        <w:t>Codifies requirements for synchronous instruction and live interaction:</w:t>
      </w:r>
    </w:p>
    <w:p w14:paraId="491F712B" w14:textId="77777777" w:rsidR="00A03C62" w:rsidRPr="00740E1B" w:rsidRDefault="00A03C62" w:rsidP="00000F1D">
      <w:pPr>
        <w:pStyle w:val="bulletindent"/>
      </w:pPr>
      <w:r w:rsidRPr="00740E1B">
        <w:t>For pupils in transitional kindergarten and grades 1 to 3, inclusive, a plan to provide opportunities for daily synchronous instruction for all pupils throughout the school year.</w:t>
      </w:r>
    </w:p>
    <w:p w14:paraId="56456A24" w14:textId="77777777" w:rsidR="00A03C62" w:rsidRPr="00FC6A13" w:rsidRDefault="00A03C62" w:rsidP="00000F1D">
      <w:pPr>
        <w:pStyle w:val="bulletindent"/>
      </w:pPr>
      <w:r w:rsidRPr="00353C80">
        <w:t>For pupils in grades 4 to 8, inclusive, a plan to provide opportunities for both daily live interaction and at least weekly synchronous instruction for all pupils throughout the school year.</w:t>
      </w:r>
    </w:p>
    <w:p w14:paraId="4005DA05" w14:textId="77777777" w:rsidR="00A03C62" w:rsidRPr="008F1E58" w:rsidRDefault="00A03C62" w:rsidP="00000F1D">
      <w:pPr>
        <w:pStyle w:val="bulletindent"/>
      </w:pPr>
      <w:r w:rsidRPr="008F1E58">
        <w:t>For pupils in grades 9 to 12, inclusive, a plan to provide opportunities for at least weekly synchronous instruction for all pupils throughout the school year.</w:t>
      </w:r>
    </w:p>
    <w:p w14:paraId="3B89BDB8" w14:textId="5A68EBFF" w:rsidR="00A03C62" w:rsidRPr="008F1E58" w:rsidRDefault="00A03C62" w:rsidP="00000F1D">
      <w:pPr>
        <w:pStyle w:val="Bullet"/>
      </w:pPr>
      <w:r w:rsidRPr="008F1E58">
        <w:t>A plan to transition pupils whose families wish to return to in-person instruction from independent study expeditiously, and in no case later than five instructional days.</w:t>
      </w:r>
    </w:p>
    <w:p w14:paraId="2E4015C2" w14:textId="0632897B" w:rsidR="00A03C62" w:rsidRPr="00740E1B" w:rsidRDefault="00A03C62" w:rsidP="00000F1D">
      <w:pPr>
        <w:pStyle w:val="Body"/>
      </w:pPr>
      <w:r w:rsidRPr="008F1E58">
        <w:rPr>
          <w:b/>
          <w:bCs/>
        </w:rPr>
        <w:t>Written Agreements</w:t>
      </w:r>
      <w:r w:rsidRPr="00000F1D">
        <w:t xml:space="preserve"> </w:t>
      </w:r>
      <w:r w:rsidR="00740E1B">
        <w:t>–</w:t>
      </w:r>
      <w:r w:rsidR="00740E1B" w:rsidRPr="00000F1D">
        <w:t xml:space="preserve"> </w:t>
      </w:r>
      <w:r w:rsidRPr="00740E1B">
        <w:t>The elements to be included in the required written agreements are amended as follows:</w:t>
      </w:r>
    </w:p>
    <w:p w14:paraId="6B8F8C1D" w14:textId="45303490" w:rsidR="00A03C62" w:rsidRPr="00740E1B" w:rsidRDefault="00866EB1" w:rsidP="00000F1D">
      <w:pPr>
        <w:pStyle w:val="Bullet"/>
      </w:pPr>
      <w:r w:rsidRPr="00740E1B">
        <w:t>W</w:t>
      </w:r>
      <w:r w:rsidR="00A03C62" w:rsidRPr="00740E1B">
        <w:t>ritten agreements</w:t>
      </w:r>
      <w:r w:rsidRPr="00740E1B">
        <w:t xml:space="preserve"> may</w:t>
      </w:r>
      <w:r w:rsidR="00A03C62" w:rsidRPr="00740E1B">
        <w:t xml:space="preserve"> be signed using an electronic signature that complies with state and federal standards</w:t>
      </w:r>
      <w:r w:rsidR="00A03C62" w:rsidRPr="00000F1D">
        <w:t xml:space="preserve">. </w:t>
      </w:r>
    </w:p>
    <w:p w14:paraId="7CFF302A" w14:textId="18357D37" w:rsidR="00A03C62" w:rsidRPr="00000F1D" w:rsidRDefault="00866EB1" w:rsidP="00000F1D">
      <w:pPr>
        <w:pStyle w:val="Bullet"/>
      </w:pPr>
      <w:r w:rsidRPr="00740E1B">
        <w:t xml:space="preserve">Written agreements must include </w:t>
      </w:r>
      <w:r w:rsidR="00A03C62" w:rsidRPr="00740E1B">
        <w:t xml:space="preserve">a description of the manner, time, frequency and place for reporting the pupil’s academic progress rather than merely submitting </w:t>
      </w:r>
      <w:r w:rsidR="00A03C62" w:rsidRPr="00740E1B">
        <w:lastRenderedPageBreak/>
        <w:t>assignments and for communicating with a pupil’s parent or guardian regarding a pupil’s academic progress.</w:t>
      </w:r>
    </w:p>
    <w:p w14:paraId="64E7B05E" w14:textId="41EDD7D7" w:rsidR="00A03C62" w:rsidRPr="00000F1D" w:rsidRDefault="00866EB1" w:rsidP="00000F1D">
      <w:pPr>
        <w:pStyle w:val="Bullet"/>
      </w:pPr>
      <w:r w:rsidRPr="00740E1B">
        <w:t>W</w:t>
      </w:r>
      <w:r w:rsidR="00A03C62" w:rsidRPr="00740E1B">
        <w:t>ritten agreement</w:t>
      </w:r>
      <w:r w:rsidRPr="00740E1B">
        <w:t>s</w:t>
      </w:r>
      <w:r w:rsidR="00A03C62" w:rsidRPr="00740E1B">
        <w:t xml:space="preserve"> must include the specific resources necessary to provide access to internet connectivity and devices adequate to participate in the educational program and complete assigned work. </w:t>
      </w:r>
    </w:p>
    <w:p w14:paraId="0F848294" w14:textId="7732ADB8" w:rsidR="00A03C62" w:rsidRPr="00000F1D" w:rsidRDefault="00866EB1" w:rsidP="00000F1D">
      <w:pPr>
        <w:pStyle w:val="Bullet"/>
      </w:pPr>
      <w:r w:rsidRPr="00740E1B">
        <w:t>Written agreements must include a</w:t>
      </w:r>
      <w:r w:rsidR="00A03C62" w:rsidRPr="00000F1D">
        <w:t xml:space="preserve"> statement detailing the academic and other supports that will be provided to address the needs of pupils who are not performing at grade level, or need support in other areas, such as English learners, individuals with exceptional needs to be consistent with the pupil’s individualized education program or plan pursuant to </w:t>
      </w:r>
      <w:r w:rsidR="00C509FE">
        <w:t>s</w:t>
      </w:r>
      <w:r w:rsidR="00A03C62" w:rsidRPr="00000F1D">
        <w:t>ection 504 of the federal Rehabilitation Act of 1973 (29 U.S.C. Sec. 794), pupils in foster care or experiencing homelessness, and pupils requiring mental health supports.</w:t>
      </w:r>
    </w:p>
    <w:p w14:paraId="699220C9" w14:textId="0576516F" w:rsidR="00A03C62" w:rsidRPr="008F1E58" w:rsidRDefault="00A03C62" w:rsidP="007E6AF6">
      <w:pPr>
        <w:shd w:val="clear" w:color="auto" w:fill="FFFFFF"/>
        <w:spacing w:line="240" w:lineRule="auto"/>
        <w:textAlignment w:val="baseline"/>
        <w:rPr>
          <w:rFonts w:ascii="Times New Roman" w:eastAsia="Times New Roman" w:hAnsi="Times New Roman" w:cs="Times New Roman"/>
          <w:sz w:val="24"/>
          <w:szCs w:val="24"/>
          <w:bdr w:val="none" w:sz="0" w:space="0" w:color="auto" w:frame="1"/>
        </w:rPr>
      </w:pPr>
      <w:r w:rsidRPr="00740E1B">
        <w:rPr>
          <w:rFonts w:ascii="Times New Roman" w:eastAsia="Times New Roman" w:hAnsi="Times New Roman" w:cs="Times New Roman"/>
          <w:b/>
          <w:bCs/>
          <w:sz w:val="24"/>
          <w:szCs w:val="24"/>
          <w:bdr w:val="none" w:sz="0" w:space="0" w:color="auto" w:frame="1"/>
        </w:rPr>
        <w:t>Participation, Engagement and Synchronous Instruction</w:t>
      </w:r>
      <w:r w:rsidRPr="00000F1D">
        <w:rPr>
          <w:rFonts w:ascii="Times New Roman" w:eastAsia="Times New Roman" w:hAnsi="Times New Roman" w:cs="Times New Roman"/>
          <w:sz w:val="24"/>
          <w:szCs w:val="24"/>
          <w:bdr w:val="none" w:sz="0" w:space="0" w:color="auto" w:frame="1"/>
        </w:rPr>
        <w:t xml:space="preserve"> </w:t>
      </w:r>
      <w:r w:rsidR="001958F9" w:rsidRPr="00000F1D">
        <w:rPr>
          <w:rFonts w:ascii="Times New Roman" w:eastAsia="Times New Roman" w:hAnsi="Times New Roman" w:cs="Times New Roman"/>
          <w:sz w:val="24"/>
          <w:szCs w:val="24"/>
          <w:bdr w:val="none" w:sz="0" w:space="0" w:color="auto" w:frame="1"/>
        </w:rPr>
        <w:t>–</w:t>
      </w:r>
      <w:r w:rsidRPr="00000F1D">
        <w:rPr>
          <w:rFonts w:ascii="Times New Roman" w:eastAsia="Times New Roman" w:hAnsi="Times New Roman" w:cs="Times New Roman"/>
          <w:sz w:val="24"/>
          <w:szCs w:val="24"/>
          <w:bdr w:val="none" w:sz="0" w:space="0" w:color="auto" w:frame="1"/>
        </w:rPr>
        <w:t xml:space="preserve"> </w:t>
      </w:r>
      <w:r w:rsidR="001958F9" w:rsidRPr="00000F1D">
        <w:rPr>
          <w:rFonts w:ascii="Times New Roman" w:eastAsia="Times New Roman" w:hAnsi="Times New Roman" w:cs="Times New Roman"/>
          <w:sz w:val="24"/>
          <w:szCs w:val="24"/>
          <w:bdr w:val="none" w:sz="0" w:space="0" w:color="auto" w:frame="1"/>
        </w:rPr>
        <w:t xml:space="preserve">For traditional independent study only, </w:t>
      </w:r>
      <w:r w:rsidR="001958F9" w:rsidRPr="008F1E58">
        <w:rPr>
          <w:rFonts w:ascii="Times New Roman" w:eastAsia="Times New Roman" w:hAnsi="Times New Roman" w:cs="Times New Roman"/>
          <w:sz w:val="24"/>
          <w:szCs w:val="24"/>
          <w:bdr w:val="none" w:sz="0" w:space="0" w:color="auto" w:frame="1"/>
        </w:rPr>
        <w:t>an</w:t>
      </w:r>
      <w:r w:rsidRPr="008F1E58">
        <w:rPr>
          <w:rFonts w:ascii="Times New Roman" w:eastAsia="Times New Roman" w:hAnsi="Times New Roman" w:cs="Times New Roman"/>
          <w:sz w:val="24"/>
          <w:szCs w:val="24"/>
          <w:bdr w:val="none" w:sz="0" w:space="0" w:color="auto" w:frame="1"/>
        </w:rPr>
        <w:t xml:space="preserve"> </w:t>
      </w:r>
      <w:r w:rsidR="001958F9" w:rsidRPr="008F1E58">
        <w:rPr>
          <w:rFonts w:ascii="Times New Roman" w:eastAsia="Times New Roman" w:hAnsi="Times New Roman" w:cs="Times New Roman"/>
          <w:sz w:val="24"/>
          <w:szCs w:val="24"/>
          <w:bdr w:val="none" w:sz="0" w:space="0" w:color="auto" w:frame="1"/>
        </w:rPr>
        <w:t>LEA</w:t>
      </w:r>
      <w:r w:rsidRPr="008F1E58">
        <w:rPr>
          <w:rFonts w:ascii="Times New Roman" w:eastAsia="Times New Roman" w:hAnsi="Times New Roman" w:cs="Times New Roman"/>
          <w:sz w:val="24"/>
          <w:szCs w:val="24"/>
          <w:bdr w:val="none" w:sz="0" w:space="0" w:color="auto" w:frame="1"/>
        </w:rPr>
        <w:t xml:space="preserve"> shall document each pupil’s participation in live interaction and synchronous instruction on each school</w:t>
      </w:r>
      <w:r w:rsidR="006155E0" w:rsidRPr="008F1E58">
        <w:rPr>
          <w:rFonts w:ascii="Times New Roman" w:eastAsia="Times New Roman" w:hAnsi="Times New Roman" w:cs="Times New Roman"/>
          <w:sz w:val="24"/>
          <w:szCs w:val="24"/>
          <w:bdr w:val="none" w:sz="0" w:space="0" w:color="auto" w:frame="1"/>
        </w:rPr>
        <w:t xml:space="preserve"> </w:t>
      </w:r>
      <w:r w:rsidRPr="008F1E58">
        <w:rPr>
          <w:rFonts w:ascii="Times New Roman" w:eastAsia="Times New Roman" w:hAnsi="Times New Roman" w:cs="Times New Roman"/>
          <w:sz w:val="24"/>
          <w:szCs w:val="24"/>
          <w:bdr w:val="none" w:sz="0" w:space="0" w:color="auto" w:frame="1"/>
        </w:rPr>
        <w:t>day, as applicable, in whole or in part, for which independent study is provided. A pupil who does not participate in independent study on a school</w:t>
      </w:r>
      <w:r w:rsidR="006155E0" w:rsidRPr="008F1E58">
        <w:rPr>
          <w:rFonts w:ascii="Times New Roman" w:eastAsia="Times New Roman" w:hAnsi="Times New Roman" w:cs="Times New Roman"/>
          <w:sz w:val="24"/>
          <w:szCs w:val="24"/>
          <w:bdr w:val="none" w:sz="0" w:space="0" w:color="auto" w:frame="1"/>
        </w:rPr>
        <w:t xml:space="preserve"> </w:t>
      </w:r>
      <w:r w:rsidRPr="008F1E58">
        <w:rPr>
          <w:rFonts w:ascii="Times New Roman" w:eastAsia="Times New Roman" w:hAnsi="Times New Roman" w:cs="Times New Roman"/>
          <w:sz w:val="24"/>
          <w:szCs w:val="24"/>
          <w:bdr w:val="none" w:sz="0" w:space="0" w:color="auto" w:frame="1"/>
        </w:rPr>
        <w:t xml:space="preserve">day shall be documented as </w:t>
      </w:r>
      <w:proofErr w:type="spellStart"/>
      <w:r w:rsidRPr="008F1E58">
        <w:rPr>
          <w:rFonts w:ascii="Times New Roman" w:eastAsia="Times New Roman" w:hAnsi="Times New Roman" w:cs="Times New Roman"/>
          <w:sz w:val="24"/>
          <w:szCs w:val="24"/>
          <w:bdr w:val="none" w:sz="0" w:space="0" w:color="auto" w:frame="1"/>
        </w:rPr>
        <w:t>nonparticipatory</w:t>
      </w:r>
      <w:proofErr w:type="spellEnd"/>
      <w:r w:rsidRPr="008F1E58">
        <w:rPr>
          <w:rFonts w:ascii="Times New Roman" w:eastAsia="Times New Roman" w:hAnsi="Times New Roman" w:cs="Times New Roman"/>
          <w:sz w:val="24"/>
          <w:szCs w:val="24"/>
          <w:bdr w:val="none" w:sz="0" w:space="0" w:color="auto" w:frame="1"/>
        </w:rPr>
        <w:t xml:space="preserve"> for that school</w:t>
      </w:r>
      <w:r w:rsidR="006155E0" w:rsidRPr="008F1E58">
        <w:rPr>
          <w:rFonts w:ascii="Times New Roman" w:eastAsia="Times New Roman" w:hAnsi="Times New Roman" w:cs="Times New Roman"/>
          <w:sz w:val="24"/>
          <w:szCs w:val="24"/>
          <w:bdr w:val="none" w:sz="0" w:space="0" w:color="auto" w:frame="1"/>
        </w:rPr>
        <w:t xml:space="preserve"> </w:t>
      </w:r>
      <w:r w:rsidRPr="008F1E58">
        <w:rPr>
          <w:rFonts w:ascii="Times New Roman" w:eastAsia="Times New Roman" w:hAnsi="Times New Roman" w:cs="Times New Roman"/>
          <w:sz w:val="24"/>
          <w:szCs w:val="24"/>
          <w:bdr w:val="none" w:sz="0" w:space="0" w:color="auto" w:frame="1"/>
        </w:rPr>
        <w:t xml:space="preserve">day. </w:t>
      </w:r>
    </w:p>
    <w:p w14:paraId="2600A1A1" w14:textId="271ECA85" w:rsidR="00A03C62" w:rsidRPr="008F1E58" w:rsidRDefault="00A03C62" w:rsidP="007E6AF6">
      <w:pPr>
        <w:shd w:val="clear" w:color="auto" w:fill="FFFFFF"/>
        <w:spacing w:line="240" w:lineRule="auto"/>
        <w:textAlignment w:val="baseline"/>
        <w:rPr>
          <w:rFonts w:ascii="Times New Roman" w:eastAsia="Times New Roman" w:hAnsi="Times New Roman" w:cs="Times New Roman"/>
          <w:sz w:val="24"/>
          <w:szCs w:val="24"/>
        </w:rPr>
      </w:pPr>
      <w:r w:rsidRPr="008F1E58">
        <w:rPr>
          <w:rFonts w:ascii="Times New Roman" w:eastAsia="Times New Roman" w:hAnsi="Times New Roman" w:cs="Times New Roman"/>
          <w:sz w:val="24"/>
          <w:szCs w:val="24"/>
          <w:bdr w:val="none" w:sz="0" w:space="0" w:color="auto" w:frame="1"/>
        </w:rPr>
        <w:t>A</w:t>
      </w:r>
      <w:r w:rsidR="001958F9" w:rsidRPr="008F1E58">
        <w:rPr>
          <w:rFonts w:ascii="Times New Roman" w:eastAsia="Times New Roman" w:hAnsi="Times New Roman" w:cs="Times New Roman"/>
          <w:sz w:val="24"/>
          <w:szCs w:val="24"/>
          <w:bdr w:val="none" w:sz="0" w:space="0" w:color="auto" w:frame="1"/>
        </w:rPr>
        <w:t>n</w:t>
      </w:r>
      <w:r w:rsidRPr="008F1E58">
        <w:rPr>
          <w:rFonts w:ascii="Times New Roman" w:eastAsia="Times New Roman" w:hAnsi="Times New Roman" w:cs="Times New Roman"/>
          <w:sz w:val="24"/>
          <w:szCs w:val="24"/>
          <w:bdr w:val="none" w:sz="0" w:space="0" w:color="auto" w:frame="1"/>
        </w:rPr>
        <w:t xml:space="preserve"> </w:t>
      </w:r>
      <w:r w:rsidR="001958F9" w:rsidRPr="008F1E58">
        <w:rPr>
          <w:rFonts w:ascii="Times New Roman" w:eastAsia="Times New Roman" w:hAnsi="Times New Roman" w:cs="Times New Roman"/>
          <w:sz w:val="24"/>
          <w:szCs w:val="24"/>
          <w:bdr w:val="none" w:sz="0" w:space="0" w:color="auto" w:frame="1"/>
        </w:rPr>
        <w:t>LEA</w:t>
      </w:r>
      <w:r w:rsidRPr="008F1E58">
        <w:rPr>
          <w:rFonts w:ascii="Times New Roman" w:eastAsia="Times New Roman" w:hAnsi="Times New Roman" w:cs="Times New Roman"/>
          <w:sz w:val="24"/>
          <w:szCs w:val="24"/>
          <w:bdr w:val="none" w:sz="0" w:space="0" w:color="auto" w:frame="1"/>
        </w:rPr>
        <w:t xml:space="preserve"> shall maintain written or computer-based evidence of pupil engagement that includes, but is not limited to, a grade book or summary document that, for each class, lists all assignments, assessments, and associated grades.</w:t>
      </w:r>
    </w:p>
    <w:p w14:paraId="01455277" w14:textId="003B5812" w:rsidR="00A03C62" w:rsidRPr="008F1E58" w:rsidRDefault="00A03C62" w:rsidP="007E6AF6">
      <w:pPr>
        <w:shd w:val="clear" w:color="auto" w:fill="FFFFFF"/>
        <w:spacing w:line="240" w:lineRule="auto"/>
        <w:textAlignment w:val="baseline"/>
        <w:outlineLvl w:val="5"/>
        <w:rPr>
          <w:rFonts w:ascii="Times New Roman" w:eastAsia="Times New Roman" w:hAnsi="Times New Roman" w:cs="Times New Roman"/>
          <w:sz w:val="24"/>
          <w:szCs w:val="24"/>
          <w:bdr w:val="none" w:sz="0" w:space="0" w:color="auto" w:frame="1"/>
        </w:rPr>
      </w:pPr>
      <w:r w:rsidRPr="008F1E58">
        <w:rPr>
          <w:rFonts w:ascii="Times New Roman" w:eastAsia="Times New Roman" w:hAnsi="Times New Roman" w:cs="Times New Roman"/>
          <w:b/>
          <w:bCs/>
          <w:color w:val="000000"/>
          <w:sz w:val="24"/>
          <w:szCs w:val="24"/>
        </w:rPr>
        <w:t>Average Daily Attendance &amp; CALPADS</w:t>
      </w:r>
      <w:r w:rsidRPr="00000F1D">
        <w:rPr>
          <w:rFonts w:ascii="Times New Roman" w:eastAsia="Times New Roman" w:hAnsi="Times New Roman" w:cs="Times New Roman"/>
          <w:color w:val="000000"/>
          <w:sz w:val="24"/>
          <w:szCs w:val="24"/>
        </w:rPr>
        <w:t xml:space="preserve"> </w:t>
      </w:r>
      <w:r w:rsidR="001958F9" w:rsidRPr="00000F1D">
        <w:rPr>
          <w:rFonts w:ascii="Times New Roman" w:eastAsia="Times New Roman" w:hAnsi="Times New Roman" w:cs="Times New Roman"/>
          <w:sz w:val="24"/>
          <w:szCs w:val="24"/>
          <w:bdr w:val="none" w:sz="0" w:space="0" w:color="auto" w:frame="1"/>
        </w:rPr>
        <w:t>–</w:t>
      </w:r>
      <w:r w:rsidRPr="00000F1D">
        <w:rPr>
          <w:rFonts w:ascii="Times New Roman" w:eastAsia="Times New Roman" w:hAnsi="Times New Roman" w:cs="Times New Roman"/>
          <w:color w:val="000000"/>
          <w:sz w:val="24"/>
          <w:szCs w:val="24"/>
        </w:rPr>
        <w:t xml:space="preserve"> </w:t>
      </w:r>
      <w:r w:rsidRPr="00740E1B">
        <w:rPr>
          <w:rFonts w:ascii="Times New Roman" w:eastAsia="Times New Roman" w:hAnsi="Times New Roman" w:cs="Times New Roman"/>
          <w:sz w:val="24"/>
          <w:szCs w:val="24"/>
          <w:bdr w:val="none" w:sz="0" w:space="0" w:color="auto" w:frame="1"/>
        </w:rPr>
        <w:t>Apportionment credit will continue to be based on the time value of pupil work products as personally judged in each instance by a certificated teacher</w:t>
      </w:r>
      <w:r w:rsidR="0080185F" w:rsidRPr="00740E1B">
        <w:rPr>
          <w:rFonts w:ascii="Times New Roman" w:eastAsia="Times New Roman" w:hAnsi="Times New Roman" w:cs="Times New Roman"/>
          <w:sz w:val="24"/>
          <w:szCs w:val="24"/>
          <w:bdr w:val="none" w:sz="0" w:space="0" w:color="auto" w:frame="1"/>
        </w:rPr>
        <w:t xml:space="preserve"> for traditional independent study.</w:t>
      </w:r>
      <w:r w:rsidR="00174D21" w:rsidRPr="008F1E58">
        <w:rPr>
          <w:rFonts w:ascii="Times New Roman" w:eastAsia="Times New Roman" w:hAnsi="Times New Roman" w:cs="Times New Roman"/>
          <w:sz w:val="24"/>
          <w:szCs w:val="24"/>
          <w:bdr w:val="none" w:sz="0" w:space="0" w:color="auto" w:frame="1"/>
        </w:rPr>
        <w:t xml:space="preserve"> </w:t>
      </w:r>
      <w:r w:rsidR="0080185F" w:rsidRPr="008F1E58">
        <w:rPr>
          <w:rFonts w:ascii="Times New Roman" w:eastAsia="Times New Roman" w:hAnsi="Times New Roman" w:cs="Times New Roman"/>
          <w:sz w:val="24"/>
          <w:szCs w:val="24"/>
          <w:bdr w:val="none" w:sz="0" w:space="0" w:color="auto" w:frame="1"/>
        </w:rPr>
        <w:t>Attendance for apportionment credit will continue to be based on enrollment i</w:t>
      </w:r>
      <w:r w:rsidR="006155E0" w:rsidRPr="008F1E58">
        <w:rPr>
          <w:rFonts w:ascii="Times New Roman" w:eastAsia="Times New Roman" w:hAnsi="Times New Roman" w:cs="Times New Roman"/>
          <w:sz w:val="24"/>
          <w:szCs w:val="24"/>
          <w:bdr w:val="none" w:sz="0" w:space="0" w:color="auto" w:frame="1"/>
        </w:rPr>
        <w:t>n</w:t>
      </w:r>
      <w:r w:rsidR="0080185F" w:rsidRPr="008F1E58">
        <w:rPr>
          <w:rFonts w:ascii="Times New Roman" w:eastAsia="Times New Roman" w:hAnsi="Times New Roman" w:cs="Times New Roman"/>
          <w:sz w:val="24"/>
          <w:szCs w:val="24"/>
          <w:bdr w:val="none" w:sz="0" w:space="0" w:color="auto" w:frame="1"/>
        </w:rPr>
        <w:t xml:space="preserve"> certificated courses and satisfactory progress for course</w:t>
      </w:r>
      <w:r w:rsidR="00C509FE">
        <w:rPr>
          <w:rFonts w:ascii="Times New Roman" w:eastAsia="Times New Roman" w:hAnsi="Times New Roman" w:cs="Times New Roman"/>
          <w:sz w:val="24"/>
          <w:szCs w:val="24"/>
          <w:bdr w:val="none" w:sz="0" w:space="0" w:color="auto" w:frame="1"/>
        </w:rPr>
        <w:t>-</w:t>
      </w:r>
      <w:r w:rsidR="0080185F" w:rsidRPr="008F1E58">
        <w:rPr>
          <w:rFonts w:ascii="Times New Roman" w:eastAsia="Times New Roman" w:hAnsi="Times New Roman" w:cs="Times New Roman"/>
          <w:sz w:val="24"/>
          <w:szCs w:val="24"/>
          <w:bdr w:val="none" w:sz="0" w:space="0" w:color="auto" w:frame="1"/>
        </w:rPr>
        <w:t>based independent study</w:t>
      </w:r>
      <w:r w:rsidRPr="008F1E58">
        <w:rPr>
          <w:rFonts w:ascii="Times New Roman" w:eastAsia="Times New Roman" w:hAnsi="Times New Roman" w:cs="Times New Roman"/>
          <w:sz w:val="24"/>
          <w:szCs w:val="24"/>
          <w:bdr w:val="none" w:sz="0" w:space="0" w:color="auto" w:frame="1"/>
        </w:rPr>
        <w:t xml:space="preserve">. </w:t>
      </w:r>
      <w:r w:rsidRPr="008F1E58">
        <w:rPr>
          <w:rFonts w:ascii="Times New Roman" w:eastAsia="Times New Roman" w:hAnsi="Times New Roman" w:cs="Times New Roman"/>
          <w:sz w:val="24"/>
          <w:szCs w:val="24"/>
        </w:rPr>
        <w:t>Amendments to Ed</w:t>
      </w:r>
      <w:r w:rsidR="00866EB1" w:rsidRPr="008F1E58">
        <w:rPr>
          <w:rFonts w:ascii="Times New Roman" w:eastAsia="Times New Roman" w:hAnsi="Times New Roman" w:cs="Times New Roman"/>
          <w:sz w:val="24"/>
          <w:szCs w:val="24"/>
        </w:rPr>
        <w:t xml:space="preserve">ucation </w:t>
      </w:r>
      <w:r w:rsidRPr="008F1E58">
        <w:rPr>
          <w:rFonts w:ascii="Times New Roman" w:eastAsia="Times New Roman" w:hAnsi="Times New Roman" w:cs="Times New Roman"/>
          <w:sz w:val="24"/>
          <w:szCs w:val="24"/>
        </w:rPr>
        <w:t>Code</w:t>
      </w:r>
      <w:r w:rsidR="00866EB1" w:rsidRPr="008F1E58">
        <w:rPr>
          <w:rFonts w:ascii="Times New Roman" w:eastAsia="Times New Roman" w:hAnsi="Times New Roman" w:cs="Times New Roman"/>
          <w:sz w:val="24"/>
          <w:szCs w:val="24"/>
        </w:rPr>
        <w:t xml:space="preserve"> </w:t>
      </w:r>
      <w:r w:rsidR="006155E0" w:rsidRPr="008F1E58">
        <w:rPr>
          <w:rFonts w:ascii="Times New Roman" w:eastAsia="Times New Roman" w:hAnsi="Times New Roman" w:cs="Times New Roman"/>
          <w:sz w:val="24"/>
          <w:szCs w:val="24"/>
        </w:rPr>
        <w:t>s</w:t>
      </w:r>
      <w:r w:rsidR="00866EB1" w:rsidRPr="008F1E58">
        <w:rPr>
          <w:rFonts w:ascii="Times New Roman" w:eastAsia="Times New Roman" w:hAnsi="Times New Roman" w:cs="Times New Roman"/>
          <w:sz w:val="24"/>
          <w:szCs w:val="24"/>
        </w:rPr>
        <w:t>ection</w:t>
      </w:r>
      <w:r w:rsidRPr="008F1E58">
        <w:rPr>
          <w:rFonts w:ascii="Times New Roman" w:eastAsia="Times New Roman" w:hAnsi="Times New Roman" w:cs="Times New Roman"/>
          <w:sz w:val="24"/>
          <w:szCs w:val="24"/>
        </w:rPr>
        <w:t xml:space="preserve"> 51747 include the </w:t>
      </w:r>
      <w:r w:rsidRPr="008F1E58">
        <w:rPr>
          <w:rFonts w:ascii="Times New Roman" w:eastAsia="Times New Roman" w:hAnsi="Times New Roman" w:cs="Times New Roman"/>
          <w:sz w:val="24"/>
          <w:szCs w:val="24"/>
          <w:bdr w:val="none" w:sz="0" w:space="0" w:color="auto" w:frame="1"/>
        </w:rPr>
        <w:t>intent of the Legislature that teachers be given access to digital assignment tracking systems to reduce workload associated with evaluating and accounting for pupil work.</w:t>
      </w:r>
    </w:p>
    <w:p w14:paraId="5B7962D0" w14:textId="5D068BE5" w:rsidR="00A03C62" w:rsidRPr="008F1E58" w:rsidRDefault="00A03C62" w:rsidP="007E6AF6">
      <w:pPr>
        <w:shd w:val="clear" w:color="auto" w:fill="FFFFFF"/>
        <w:spacing w:line="240" w:lineRule="auto"/>
        <w:textAlignment w:val="baseline"/>
        <w:outlineLvl w:val="5"/>
        <w:rPr>
          <w:rFonts w:ascii="Times New Roman" w:eastAsia="Times New Roman" w:hAnsi="Times New Roman" w:cs="Times New Roman"/>
          <w:sz w:val="24"/>
          <w:szCs w:val="24"/>
          <w:bdr w:val="none" w:sz="0" w:space="0" w:color="auto" w:frame="1"/>
        </w:rPr>
      </w:pPr>
      <w:bookmarkStart w:id="29" w:name="_Hlk77025924"/>
      <w:r w:rsidRPr="008F1E58">
        <w:rPr>
          <w:rFonts w:ascii="Times New Roman" w:eastAsia="Times New Roman" w:hAnsi="Times New Roman" w:cs="Times New Roman"/>
          <w:sz w:val="24"/>
          <w:szCs w:val="24"/>
          <w:bdr w:val="none" w:sz="0" w:space="0" w:color="auto" w:frame="1"/>
        </w:rPr>
        <w:t xml:space="preserve">Education </w:t>
      </w:r>
      <w:r w:rsidR="00866EB1" w:rsidRPr="008F1E58">
        <w:rPr>
          <w:rFonts w:ascii="Times New Roman" w:eastAsia="Times New Roman" w:hAnsi="Times New Roman" w:cs="Times New Roman"/>
          <w:sz w:val="24"/>
          <w:szCs w:val="24"/>
          <w:bdr w:val="none" w:sz="0" w:space="0" w:color="auto" w:frame="1"/>
        </w:rPr>
        <w:t>C</w:t>
      </w:r>
      <w:r w:rsidRPr="008F1E58">
        <w:rPr>
          <w:rFonts w:ascii="Times New Roman" w:eastAsia="Times New Roman" w:hAnsi="Times New Roman" w:cs="Times New Roman"/>
          <w:sz w:val="24"/>
          <w:szCs w:val="24"/>
          <w:bdr w:val="none" w:sz="0" w:space="0" w:color="auto" w:frame="1"/>
        </w:rPr>
        <w:t xml:space="preserve">ode </w:t>
      </w:r>
      <w:r w:rsidR="006155E0" w:rsidRPr="008F1E58">
        <w:rPr>
          <w:rFonts w:ascii="Times New Roman" w:eastAsia="Times New Roman" w:hAnsi="Times New Roman" w:cs="Times New Roman"/>
          <w:sz w:val="24"/>
          <w:szCs w:val="24"/>
          <w:bdr w:val="none" w:sz="0" w:space="0" w:color="auto" w:frame="1"/>
        </w:rPr>
        <w:t>s</w:t>
      </w:r>
      <w:r w:rsidR="00866EB1" w:rsidRPr="008F1E58">
        <w:rPr>
          <w:rFonts w:ascii="Times New Roman" w:eastAsia="Times New Roman" w:hAnsi="Times New Roman" w:cs="Times New Roman"/>
          <w:sz w:val="24"/>
          <w:szCs w:val="24"/>
          <w:bdr w:val="none" w:sz="0" w:space="0" w:color="auto" w:frame="1"/>
        </w:rPr>
        <w:t xml:space="preserve">ection </w:t>
      </w:r>
      <w:r w:rsidRPr="008F1E58">
        <w:rPr>
          <w:rFonts w:ascii="Times New Roman" w:eastAsia="Times New Roman" w:hAnsi="Times New Roman" w:cs="Times New Roman"/>
          <w:sz w:val="24"/>
          <w:szCs w:val="24"/>
          <w:bdr w:val="none" w:sz="0" w:space="0" w:color="auto" w:frame="1"/>
        </w:rPr>
        <w:t>46300</w:t>
      </w:r>
      <w:r w:rsidR="006155E0" w:rsidRPr="008F1E58">
        <w:rPr>
          <w:rFonts w:ascii="Times New Roman" w:eastAsia="Times New Roman" w:hAnsi="Times New Roman" w:cs="Times New Roman"/>
          <w:sz w:val="24"/>
          <w:szCs w:val="24"/>
          <w:bdr w:val="none" w:sz="0" w:space="0" w:color="auto" w:frame="1"/>
        </w:rPr>
        <w:t>,</w:t>
      </w:r>
      <w:r w:rsidR="00866EB1" w:rsidRPr="008F1E58">
        <w:rPr>
          <w:rFonts w:ascii="Times New Roman" w:eastAsia="Times New Roman" w:hAnsi="Times New Roman" w:cs="Times New Roman"/>
          <w:sz w:val="24"/>
          <w:szCs w:val="24"/>
          <w:bdr w:val="none" w:sz="0" w:space="0" w:color="auto" w:frame="1"/>
        </w:rPr>
        <w:t xml:space="preserve"> </w:t>
      </w:r>
      <w:r w:rsidR="006155E0" w:rsidRPr="008F1E58">
        <w:rPr>
          <w:rFonts w:ascii="Times New Roman" w:eastAsia="Times New Roman" w:hAnsi="Times New Roman" w:cs="Times New Roman"/>
          <w:sz w:val="24"/>
          <w:szCs w:val="24"/>
          <w:bdr w:val="none" w:sz="0" w:space="0" w:color="auto" w:frame="1"/>
        </w:rPr>
        <w:t>which</w:t>
      </w:r>
      <w:r w:rsidR="00866EB1" w:rsidRPr="008F1E58">
        <w:rPr>
          <w:rFonts w:ascii="Times New Roman" w:eastAsia="Times New Roman" w:hAnsi="Times New Roman" w:cs="Times New Roman"/>
          <w:sz w:val="24"/>
          <w:szCs w:val="24"/>
          <w:bdr w:val="none" w:sz="0" w:space="0" w:color="auto" w:frame="1"/>
        </w:rPr>
        <w:t xml:space="preserve"> limited</w:t>
      </w:r>
      <w:r w:rsidRPr="008F1E58">
        <w:rPr>
          <w:rFonts w:ascii="Times New Roman" w:eastAsia="Times New Roman" w:hAnsi="Times New Roman" w:cs="Times New Roman"/>
          <w:sz w:val="24"/>
          <w:szCs w:val="24"/>
          <w:bdr w:val="none" w:sz="0" w:space="0" w:color="auto" w:frame="1"/>
        </w:rPr>
        <w:t xml:space="preserve"> short-term independent study to five or more consecutive days</w:t>
      </w:r>
      <w:r w:rsidR="006155E0" w:rsidRPr="008F1E58">
        <w:rPr>
          <w:rFonts w:ascii="Times New Roman" w:eastAsia="Times New Roman" w:hAnsi="Times New Roman" w:cs="Times New Roman"/>
          <w:sz w:val="24"/>
          <w:szCs w:val="24"/>
          <w:bdr w:val="none" w:sz="0" w:space="0" w:color="auto" w:frame="1"/>
        </w:rPr>
        <w:t>,</w:t>
      </w:r>
      <w:r w:rsidRPr="008F1E58">
        <w:rPr>
          <w:rFonts w:ascii="Times New Roman" w:eastAsia="Times New Roman" w:hAnsi="Times New Roman" w:cs="Times New Roman"/>
          <w:sz w:val="24"/>
          <w:szCs w:val="24"/>
          <w:bdr w:val="none" w:sz="0" w:space="0" w:color="auto" w:frame="1"/>
        </w:rPr>
        <w:t xml:space="preserve"> is amended to allow independent study for three or more consecutive days.</w:t>
      </w:r>
    </w:p>
    <w:bookmarkEnd w:id="29"/>
    <w:p w14:paraId="5AD0BF9F" w14:textId="51CC74E1" w:rsidR="00A03C62" w:rsidRPr="008F1E58" w:rsidRDefault="00866EB1" w:rsidP="007E6AF6">
      <w:pPr>
        <w:shd w:val="clear" w:color="auto" w:fill="FFFFFF"/>
        <w:spacing w:line="240" w:lineRule="auto"/>
        <w:textAlignment w:val="baseline"/>
        <w:outlineLvl w:val="5"/>
        <w:rPr>
          <w:rFonts w:ascii="Times New Roman" w:eastAsia="Times New Roman" w:hAnsi="Times New Roman" w:cs="Times New Roman"/>
          <w:sz w:val="24"/>
          <w:szCs w:val="24"/>
          <w:bdr w:val="none" w:sz="0" w:space="0" w:color="auto" w:frame="1"/>
        </w:rPr>
      </w:pPr>
      <w:r w:rsidRPr="008F1E58">
        <w:rPr>
          <w:rFonts w:ascii="Times New Roman" w:eastAsia="Times New Roman" w:hAnsi="Times New Roman" w:cs="Times New Roman"/>
          <w:sz w:val="24"/>
          <w:szCs w:val="24"/>
          <w:bdr w:val="none" w:sz="0" w:space="0" w:color="auto" w:frame="1"/>
        </w:rPr>
        <w:t xml:space="preserve">Changes to Education Code also amend the process for requesting </w:t>
      </w:r>
      <w:r w:rsidR="00A03C62" w:rsidRPr="008F1E58">
        <w:rPr>
          <w:rFonts w:ascii="Times New Roman" w:eastAsia="Times New Roman" w:hAnsi="Times New Roman" w:cs="Times New Roman"/>
          <w:sz w:val="24"/>
          <w:szCs w:val="24"/>
          <w:bdr w:val="none" w:sz="0" w:space="0" w:color="auto" w:frame="1"/>
        </w:rPr>
        <w:t xml:space="preserve">allowance of attendance due to emergency conditions (J-13A) </w:t>
      </w:r>
      <w:r w:rsidR="00403547" w:rsidRPr="008F1E58">
        <w:rPr>
          <w:rFonts w:ascii="Times New Roman" w:eastAsia="Times New Roman" w:hAnsi="Times New Roman" w:cs="Times New Roman"/>
          <w:sz w:val="24"/>
          <w:szCs w:val="24"/>
          <w:bdr w:val="none" w:sz="0" w:space="0" w:color="auto" w:frame="1"/>
        </w:rPr>
        <w:t>submitted after September 1, 2021</w:t>
      </w:r>
      <w:r w:rsidRPr="008F1E58">
        <w:rPr>
          <w:rFonts w:ascii="Times New Roman" w:eastAsia="Times New Roman" w:hAnsi="Times New Roman" w:cs="Times New Roman"/>
          <w:sz w:val="24"/>
          <w:szCs w:val="24"/>
          <w:bdr w:val="none" w:sz="0" w:space="0" w:color="auto" w:frame="1"/>
        </w:rPr>
        <w:t xml:space="preserve"> to now</w:t>
      </w:r>
      <w:r w:rsidR="00A03C62" w:rsidRPr="008F1E58">
        <w:rPr>
          <w:rFonts w:ascii="Times New Roman" w:eastAsia="Times New Roman" w:hAnsi="Times New Roman" w:cs="Times New Roman"/>
          <w:sz w:val="24"/>
          <w:szCs w:val="24"/>
          <w:bdr w:val="none" w:sz="0" w:space="0" w:color="auto" w:frame="1"/>
        </w:rPr>
        <w:t xml:space="preserve"> include a certification that the LEA has a </w:t>
      </w:r>
      <w:r w:rsidR="00A03C62" w:rsidRPr="00000F1D">
        <w:rPr>
          <w:rFonts w:ascii="Times New Roman" w:eastAsia="Times New Roman" w:hAnsi="Times New Roman" w:cs="Times New Roman"/>
          <w:sz w:val="24"/>
          <w:szCs w:val="24"/>
          <w:bdr w:val="none" w:sz="0" w:space="0" w:color="auto" w:frame="1"/>
        </w:rPr>
        <w:t>plan</w:t>
      </w:r>
      <w:r w:rsidR="00A03C62" w:rsidRPr="00740E1B">
        <w:rPr>
          <w:rFonts w:ascii="Times New Roman" w:eastAsia="Times New Roman" w:hAnsi="Times New Roman" w:cs="Times New Roman"/>
          <w:sz w:val="24"/>
          <w:szCs w:val="24"/>
          <w:bdr w:val="none" w:sz="0" w:space="0" w:color="auto" w:frame="1"/>
        </w:rPr>
        <w:t xml:space="preserve"> for which independent study will be offered to pupils and </w:t>
      </w:r>
      <w:r w:rsidRPr="00740E1B">
        <w:rPr>
          <w:rFonts w:ascii="Times New Roman" w:eastAsia="Times New Roman" w:hAnsi="Times New Roman" w:cs="Times New Roman"/>
          <w:sz w:val="24"/>
          <w:szCs w:val="24"/>
          <w:bdr w:val="none" w:sz="0" w:space="0" w:color="auto" w:frame="1"/>
        </w:rPr>
        <w:t>to p</w:t>
      </w:r>
      <w:r w:rsidR="00A03C62" w:rsidRPr="00740E1B">
        <w:rPr>
          <w:rFonts w:ascii="Times New Roman" w:eastAsia="Times New Roman" w:hAnsi="Times New Roman" w:cs="Times New Roman"/>
          <w:sz w:val="24"/>
          <w:szCs w:val="24"/>
          <w:bdr w:val="none" w:sz="0" w:space="0" w:color="auto" w:frame="1"/>
        </w:rPr>
        <w:t>rovide a copy of the plan with the affidavit</w:t>
      </w:r>
      <w:r w:rsidRPr="00740E1B">
        <w:rPr>
          <w:rFonts w:ascii="Times New Roman" w:eastAsia="Times New Roman" w:hAnsi="Times New Roman" w:cs="Times New Roman"/>
          <w:sz w:val="24"/>
          <w:szCs w:val="24"/>
          <w:bdr w:val="none" w:sz="0" w:space="0" w:color="auto" w:frame="1"/>
        </w:rPr>
        <w:t xml:space="preserve"> to parents.</w:t>
      </w:r>
      <w:r w:rsidR="00174D21" w:rsidRPr="008F1E58">
        <w:rPr>
          <w:rFonts w:ascii="Times New Roman" w:eastAsia="Times New Roman" w:hAnsi="Times New Roman" w:cs="Times New Roman"/>
          <w:sz w:val="24"/>
          <w:szCs w:val="24"/>
          <w:bdr w:val="none" w:sz="0" w:space="0" w:color="auto" w:frame="1"/>
        </w:rPr>
        <w:t xml:space="preserve"> </w:t>
      </w:r>
      <w:r w:rsidRPr="008F1E58">
        <w:rPr>
          <w:rFonts w:ascii="Times New Roman" w:eastAsia="Times New Roman" w:hAnsi="Times New Roman" w:cs="Times New Roman"/>
          <w:sz w:val="24"/>
          <w:szCs w:val="24"/>
          <w:bdr w:val="none" w:sz="0" w:space="0" w:color="auto" w:frame="1"/>
        </w:rPr>
        <w:t>The plan:</w:t>
      </w:r>
      <w:r w:rsidR="00A03C62" w:rsidRPr="008F1E58">
        <w:rPr>
          <w:rFonts w:ascii="Times New Roman" w:eastAsia="Times New Roman" w:hAnsi="Times New Roman" w:cs="Times New Roman"/>
          <w:sz w:val="24"/>
          <w:szCs w:val="24"/>
          <w:bdr w:val="none" w:sz="0" w:space="0" w:color="auto" w:frame="1"/>
        </w:rPr>
        <w:t xml:space="preserve"> </w:t>
      </w:r>
    </w:p>
    <w:p w14:paraId="2E7A6E8F" w14:textId="1CF53279" w:rsidR="00866EB1" w:rsidRPr="00000F1D" w:rsidRDefault="00866EB1" w:rsidP="00000F1D">
      <w:pPr>
        <w:pStyle w:val="Bullet"/>
      </w:pPr>
      <w:r w:rsidRPr="00000F1D">
        <w:t>M</w:t>
      </w:r>
      <w:r w:rsidR="00A03C62" w:rsidRPr="00000F1D">
        <w:t xml:space="preserve">ust ensure that independent study is offered to pupils when a school closure lasts in excess of </w:t>
      </w:r>
      <w:r w:rsidR="00740E1B" w:rsidRPr="00000F1D">
        <w:t xml:space="preserve">10 </w:t>
      </w:r>
      <w:r w:rsidR="00A03C62" w:rsidRPr="00000F1D">
        <w:t>days</w:t>
      </w:r>
      <w:r w:rsidRPr="00000F1D">
        <w:t>.</w:t>
      </w:r>
    </w:p>
    <w:p w14:paraId="155417F2" w14:textId="0C3A115A" w:rsidR="00A03C62" w:rsidRPr="00000F1D" w:rsidRDefault="00866EB1" w:rsidP="00000F1D">
      <w:pPr>
        <w:pStyle w:val="Bullet"/>
      </w:pPr>
      <w:r w:rsidRPr="00000F1D">
        <w:t>Must ensure</w:t>
      </w:r>
      <w:r w:rsidR="00A03C62" w:rsidRPr="00000F1D">
        <w:t xml:space="preserve"> that schools are reopened in person as soon as possible once allowable under the direction of the city or county health officer. </w:t>
      </w:r>
    </w:p>
    <w:p w14:paraId="70965C7E" w14:textId="059E0E46" w:rsidR="00866EB1" w:rsidRPr="00000F1D" w:rsidRDefault="00866EB1" w:rsidP="00000F1D">
      <w:pPr>
        <w:pStyle w:val="Bullet"/>
      </w:pPr>
      <w:r w:rsidRPr="00000F1D">
        <w:t>D</w:t>
      </w:r>
      <w:r w:rsidR="00A03C62" w:rsidRPr="00000F1D">
        <w:t>oes not have to include compliance with the requirements for tiered reengagement procedures</w:t>
      </w:r>
      <w:r w:rsidR="00740E1B" w:rsidRPr="00000F1D">
        <w:t xml:space="preserve"> or</w:t>
      </w:r>
      <w:r w:rsidR="00A03C62" w:rsidRPr="00000F1D">
        <w:t xml:space="preserve"> synchronous instruction offerings</w:t>
      </w:r>
      <w:r w:rsidRPr="00000F1D">
        <w:t>.</w:t>
      </w:r>
    </w:p>
    <w:p w14:paraId="562768F1" w14:textId="6FAED753" w:rsidR="00A03C62" w:rsidRPr="00000F1D" w:rsidRDefault="00866EB1" w:rsidP="00000F1D">
      <w:pPr>
        <w:pStyle w:val="Bullet"/>
      </w:pPr>
      <w:r w:rsidRPr="00000F1D">
        <w:t xml:space="preserve">Does not have </w:t>
      </w:r>
      <w:r w:rsidR="00A03C62" w:rsidRPr="00000F1D">
        <w:t>to provide a transition in no more than five days for pupils whose families return to in-person instruction.</w:t>
      </w:r>
    </w:p>
    <w:p w14:paraId="40F1D113" w14:textId="6DBDF460" w:rsidR="00A03C62" w:rsidRPr="00A03C62" w:rsidRDefault="00A03C62" w:rsidP="00000F1D">
      <w:pPr>
        <w:pStyle w:val="Body"/>
      </w:pPr>
      <w:r w:rsidRPr="00A03C62">
        <w:lastRenderedPageBreak/>
        <w:t xml:space="preserve">A new field will be added to CALPADS in 2021-22 to collect the number of pupils participating in </w:t>
      </w:r>
      <w:r w:rsidRPr="00740E1B">
        <w:t>independent</w:t>
      </w:r>
      <w:r w:rsidRPr="00A03C62">
        <w:t xml:space="preserve"> study for </w:t>
      </w:r>
      <w:r w:rsidR="00740E1B">
        <w:t>15</w:t>
      </w:r>
      <w:r w:rsidR="00740E1B" w:rsidRPr="00A03C62">
        <w:t xml:space="preserve"> </w:t>
      </w:r>
      <w:r w:rsidRPr="00A03C62">
        <w:t>or more school</w:t>
      </w:r>
      <w:r w:rsidR="00C509FE">
        <w:t xml:space="preserve"> </w:t>
      </w:r>
      <w:r w:rsidRPr="00A03C62">
        <w:t>days.</w:t>
      </w:r>
    </w:p>
    <w:p w14:paraId="47E406CB" w14:textId="77777777" w:rsidR="00A03C62" w:rsidRPr="00740E1B" w:rsidRDefault="00A03C62" w:rsidP="00000F1D">
      <w:pPr>
        <w:pStyle w:val="Subhead1"/>
      </w:pPr>
      <w:bookmarkStart w:id="30" w:name="_Toc77836542"/>
      <w:bookmarkStart w:id="31" w:name="_Toc77838784"/>
      <w:bookmarkStart w:id="32" w:name="_Toc77843049"/>
      <w:r w:rsidRPr="00740E1B">
        <w:t>Federal and State Funds</w:t>
      </w:r>
      <w:bookmarkEnd w:id="30"/>
      <w:bookmarkEnd w:id="31"/>
      <w:bookmarkEnd w:id="32"/>
    </w:p>
    <w:p w14:paraId="11E57BAE" w14:textId="77777777" w:rsidR="00A03C62" w:rsidRPr="00740E1B" w:rsidRDefault="00A03C62" w:rsidP="00000F1D">
      <w:pPr>
        <w:pStyle w:val="Subhead4"/>
      </w:pPr>
      <w:r w:rsidRPr="00740E1B">
        <w:t>Elementary and Secondary School Emergency Relief (ESSER III) Fund</w:t>
      </w:r>
    </w:p>
    <w:p w14:paraId="79F0B7D6" w14:textId="77777777" w:rsidR="00A03C62" w:rsidRPr="00BF1060" w:rsidRDefault="00A03C62" w:rsidP="00A03C62">
      <w:pPr>
        <w:rPr>
          <w:rFonts w:ascii="Times New Roman" w:hAnsi="Times New Roman" w:cs="Times New Roman"/>
          <w:b/>
          <w:sz w:val="24"/>
          <w:szCs w:val="24"/>
        </w:rPr>
      </w:pPr>
      <w:r w:rsidRPr="00BF1060">
        <w:rPr>
          <w:rFonts w:ascii="Times New Roman" w:hAnsi="Times New Roman" w:cs="Times New Roman"/>
          <w:b/>
          <w:sz w:val="24"/>
          <w:szCs w:val="24"/>
        </w:rPr>
        <w:t xml:space="preserve">ESSER III Safe Return Plan </w:t>
      </w:r>
    </w:p>
    <w:p w14:paraId="22C9836E" w14:textId="24F7816F" w:rsidR="00A03C62" w:rsidRPr="00FC6A13" w:rsidRDefault="00A03C62" w:rsidP="00000F1D">
      <w:pPr>
        <w:pStyle w:val="Body"/>
      </w:pPr>
      <w:r w:rsidRPr="00740E1B">
        <w:t>The American Rescue Plan (ARP) allocated $122 billion to the ESSER III fund nationwide to help safely reopen</w:t>
      </w:r>
      <w:r w:rsidR="00C509FE">
        <w:t xml:space="preserve"> and</w:t>
      </w:r>
      <w:r w:rsidRPr="00740E1B">
        <w:t xml:space="preserve"> sustain the safe operation of schools,</w:t>
      </w:r>
      <w:r w:rsidRPr="00353C80">
        <w:t xml:space="preserve"> and address the i</w:t>
      </w:r>
      <w:r w:rsidRPr="003C0D17">
        <w:t>mpact of the coronavirus pandemic on the nation’s students.</w:t>
      </w:r>
    </w:p>
    <w:p w14:paraId="27C3E203" w14:textId="77777777" w:rsidR="00A03C62" w:rsidRPr="008F1E58" w:rsidRDefault="00A03C62" w:rsidP="00000F1D">
      <w:pPr>
        <w:pStyle w:val="Bullet"/>
      </w:pPr>
      <w:r w:rsidRPr="00FC6A13">
        <w:t>LE</w:t>
      </w:r>
      <w:r w:rsidRPr="008F1E58">
        <w:t>As that receive ESSER III funds must, within 30 days of receiving the funds, make publicly available on their website a plan for the safe return to in-person instruction and continuity of services.</w:t>
      </w:r>
    </w:p>
    <w:p w14:paraId="20C258C5" w14:textId="53584239" w:rsidR="00A03C62" w:rsidRPr="008F1E58" w:rsidRDefault="00A03C62" w:rsidP="00000F1D">
      <w:pPr>
        <w:pStyle w:val="Bullet"/>
      </w:pPr>
      <w:r w:rsidRPr="008F1E58">
        <w:t xml:space="preserve">The template for the plan has been created to assist LEAs in </w:t>
      </w:r>
      <w:r w:rsidR="00C509FE">
        <w:t>creating</w:t>
      </w:r>
      <w:r w:rsidRPr="008F1E58">
        <w:t xml:space="preserve"> these plans and to ensure all required elements are met.</w:t>
      </w:r>
      <w:r w:rsidR="00174D21" w:rsidRPr="008F1E58">
        <w:t xml:space="preserve"> </w:t>
      </w:r>
      <w:r w:rsidRPr="008F1E58">
        <w:t xml:space="preserve">The template can be found at the following link: </w:t>
      </w:r>
      <w:hyperlink r:id="rId7" w:history="1">
        <w:r w:rsidRPr="008F1E58">
          <w:rPr>
            <w:rStyle w:val="Hyperlink"/>
            <w:color w:val="202020"/>
            <w:u w:val="none"/>
          </w:rPr>
          <w:t>https://www.cde.ca.gov/fg/cr/documents/returnplantemplate.pdf</w:t>
        </w:r>
      </w:hyperlink>
    </w:p>
    <w:p w14:paraId="1C0AE668" w14:textId="1AB0ED07" w:rsidR="00A03C62" w:rsidRPr="00BF1060" w:rsidRDefault="00A03C62" w:rsidP="00A03C62">
      <w:pPr>
        <w:tabs>
          <w:tab w:val="left" w:pos="461"/>
        </w:tabs>
        <w:kinsoku w:val="0"/>
        <w:overflowPunct w:val="0"/>
        <w:autoSpaceDE w:val="0"/>
        <w:autoSpaceDN w:val="0"/>
        <w:adjustRightInd w:val="0"/>
        <w:spacing w:after="0" w:line="240" w:lineRule="auto"/>
        <w:ind w:right="795"/>
        <w:rPr>
          <w:rFonts w:ascii="Times New Roman" w:hAnsi="Times New Roman" w:cs="Times New Roman"/>
          <w:b/>
          <w:sz w:val="24"/>
          <w:szCs w:val="24"/>
        </w:rPr>
      </w:pPr>
      <w:r w:rsidRPr="00BF1060">
        <w:rPr>
          <w:rFonts w:ascii="Times New Roman" w:hAnsi="Times New Roman" w:cs="Times New Roman"/>
          <w:b/>
          <w:sz w:val="24"/>
          <w:szCs w:val="24"/>
        </w:rPr>
        <w:t>ESSER III Expenditure Plan</w:t>
      </w:r>
    </w:p>
    <w:p w14:paraId="6935F7EC" w14:textId="0962F958" w:rsidR="00A03C62" w:rsidRPr="0015327F" w:rsidRDefault="00A03C62" w:rsidP="00000F1D">
      <w:pPr>
        <w:pStyle w:val="Body"/>
        <w:rPr>
          <w:rFonts w:eastAsia="Calibri"/>
          <w:color w:val="000000" w:themeColor="text1"/>
        </w:rPr>
      </w:pPr>
      <w:r w:rsidRPr="0015327F">
        <w:rPr>
          <w:rFonts w:eastAsia="Calibri"/>
          <w:color w:val="000000" w:themeColor="text1"/>
        </w:rPr>
        <w:t>LEAs</w:t>
      </w:r>
      <w:r>
        <w:rPr>
          <w:rFonts w:eastAsia="Calibri"/>
          <w:color w:val="000000" w:themeColor="text1"/>
        </w:rPr>
        <w:t xml:space="preserve"> that receive ESSER III</w:t>
      </w:r>
      <w:r w:rsidRPr="0015327F">
        <w:t xml:space="preserve"> are </w:t>
      </w:r>
      <w:r>
        <w:t xml:space="preserve">also </w:t>
      </w:r>
      <w:r w:rsidRPr="0015327F">
        <w:t xml:space="preserve">required to develop a plan for how they will use ESSER III funds to, at a minimum, address students’ academic, social, emotional, and mental health needs </w:t>
      </w:r>
      <w:r w:rsidR="003C0D17">
        <w:rPr>
          <w:color w:val="000000" w:themeColor="text1"/>
        </w:rPr>
        <w:t>and</w:t>
      </w:r>
      <w:r w:rsidRPr="0015327F">
        <w:rPr>
          <w:color w:val="000000" w:themeColor="text1"/>
        </w:rPr>
        <w:t xml:space="preserve"> the </w:t>
      </w:r>
      <w:r w:rsidR="003C0D17">
        <w:rPr>
          <w:color w:val="000000" w:themeColor="text1"/>
        </w:rPr>
        <w:t xml:space="preserve">preexisting </w:t>
      </w:r>
      <w:r w:rsidRPr="0015327F">
        <w:rPr>
          <w:color w:val="000000" w:themeColor="text1"/>
        </w:rPr>
        <w:t>opportunity gaps that were exacerbated by the COVID-19 pandemic.</w:t>
      </w:r>
      <w:r w:rsidRPr="0015327F">
        <w:rPr>
          <w:rFonts w:eastAsia="Calibri"/>
          <w:color w:val="000000" w:themeColor="text1"/>
        </w:rPr>
        <w:t xml:space="preserve"> </w:t>
      </w:r>
    </w:p>
    <w:p w14:paraId="56751843" w14:textId="5439AAF6" w:rsidR="00A03C62" w:rsidRPr="00FC6A13" w:rsidRDefault="00A03C62" w:rsidP="00000F1D">
      <w:pPr>
        <w:pStyle w:val="Bullet"/>
      </w:pPr>
      <w:r w:rsidRPr="00740E1B">
        <w:t xml:space="preserve">The expenditure plan must be adopted by the local governing board or body of the </w:t>
      </w:r>
      <w:r w:rsidRPr="00000F1D">
        <w:rPr>
          <w:rFonts w:eastAsia="Calibri"/>
        </w:rPr>
        <w:t>LEA</w:t>
      </w:r>
      <w:r w:rsidRPr="00740E1B">
        <w:t xml:space="preserve"> at a public meeting on or before </w:t>
      </w:r>
      <w:r w:rsidR="0047725F" w:rsidRPr="00740E1B">
        <w:t>October 29</w:t>
      </w:r>
      <w:r w:rsidRPr="00353C80">
        <w:t>, 2021</w:t>
      </w:r>
      <w:r w:rsidR="003C0D17">
        <w:t>,</w:t>
      </w:r>
      <w:r w:rsidRPr="00353C80">
        <w:t xml:space="preserve"> and must be submitted for review and approval within five days of adoption.</w:t>
      </w:r>
    </w:p>
    <w:p w14:paraId="6530A205" w14:textId="77777777" w:rsidR="00A03C62" w:rsidRPr="008F1E58" w:rsidRDefault="00A03C62" w:rsidP="00000F1D">
      <w:pPr>
        <w:pStyle w:val="Bullet"/>
      </w:pPr>
      <w:r w:rsidRPr="008F1E58">
        <w:t>A school district must submit its ESSER III Expenditure Plan to its COE for review and approval.</w:t>
      </w:r>
    </w:p>
    <w:p w14:paraId="0B95B88D" w14:textId="35046269" w:rsidR="003C0D17" w:rsidRPr="003C0D17" w:rsidRDefault="00A03C62" w:rsidP="00000F1D">
      <w:pPr>
        <w:pStyle w:val="Bullet"/>
      </w:pPr>
      <w:r w:rsidRPr="008F1E58">
        <w:t xml:space="preserve">The ESSER III Expenditure plan can be found at the following link: </w:t>
      </w:r>
      <w:hyperlink r:id="rId8" w:history="1">
        <w:r w:rsidRPr="008F1E58">
          <w:rPr>
            <w:rStyle w:val="Hyperlink"/>
            <w:color w:val="202020"/>
            <w:u w:val="none"/>
          </w:rPr>
          <w:t>https://www.cde.ca.gov/fg/cr/documents/esseriiiexpenditureplan.docx</w:t>
        </w:r>
      </w:hyperlink>
    </w:p>
    <w:p w14:paraId="32136677" w14:textId="77777777" w:rsidR="00A03C62" w:rsidRPr="00BF1060" w:rsidRDefault="00A03C62" w:rsidP="00A03C62">
      <w:pPr>
        <w:pStyle w:val="Heading3"/>
        <w:spacing w:after="120"/>
        <w:rPr>
          <w:rFonts w:ascii="Times New Roman" w:hAnsi="Times New Roman" w:cs="Times New Roman"/>
          <w:b/>
          <w:bCs/>
          <w:color w:val="000000" w:themeColor="text1"/>
        </w:rPr>
      </w:pPr>
      <w:r w:rsidRPr="00BF1060">
        <w:rPr>
          <w:rFonts w:ascii="Times New Roman" w:hAnsi="Times New Roman" w:cs="Times New Roman"/>
          <w:b/>
          <w:bCs/>
          <w:color w:val="000000" w:themeColor="text1"/>
        </w:rPr>
        <w:t>Fiscal Requirements</w:t>
      </w:r>
      <w:bookmarkStart w:id="33" w:name="_Toc52962489"/>
    </w:p>
    <w:p w14:paraId="2D4EA851" w14:textId="2D2D2BD7" w:rsidR="00A03C62" w:rsidRPr="00353C80" w:rsidRDefault="00A03C62" w:rsidP="00000F1D">
      <w:pPr>
        <w:pStyle w:val="Bullet"/>
      </w:pPr>
      <w:r w:rsidRPr="00740E1B">
        <w:t>The LEA must use at least 20% of its ESSER III apportionment for expenditures related to addressing the academic impact of lost instructional time through the implementation of evidence-based interventions, such as summer learning or summer enrichment, extended day, comprehensive after</w:t>
      </w:r>
      <w:r w:rsidR="003C0D17">
        <w:t>-</w:t>
      </w:r>
      <w:r w:rsidRPr="00740E1B">
        <w:t>school programs, or extended school year programs.</w:t>
      </w:r>
    </w:p>
    <w:p w14:paraId="3D9BF109" w14:textId="4FF2511A" w:rsidR="00A03C62" w:rsidRPr="00740E1B" w:rsidRDefault="00A03C62" w:rsidP="00000F1D">
      <w:pPr>
        <w:pStyle w:val="Bullet"/>
      </w:pPr>
      <w:r w:rsidRPr="00353C80">
        <w:t xml:space="preserve">For purposes of this requirement, “evidence-based interventions” include </w:t>
      </w:r>
      <w:r w:rsidRPr="00000F1D">
        <w:t>practices or programs that have</w:t>
      </w:r>
      <w:r w:rsidR="003C0D17">
        <w:t xml:space="preserve"> </w:t>
      </w:r>
      <w:r w:rsidRPr="00000F1D">
        <w:rPr>
          <w:rStyle w:val="Strong"/>
          <w:b w:val="0"/>
          <w:bCs w:val="0"/>
        </w:rPr>
        <w:t>evidence</w:t>
      </w:r>
      <w:r w:rsidR="003C0D17">
        <w:t xml:space="preserve"> </w:t>
      </w:r>
      <w:r w:rsidRPr="00000F1D">
        <w:t>to show they are effective at producing results and improving outcomes when implemented. This kind of evidence has generally been produced through formal studies and research.</w:t>
      </w:r>
    </w:p>
    <w:p w14:paraId="227AB64C" w14:textId="04BB7389" w:rsidR="00A03C62" w:rsidRPr="00000F1D" w:rsidRDefault="00A03C62" w:rsidP="00000F1D">
      <w:pPr>
        <w:pStyle w:val="bulletindent"/>
        <w:rPr>
          <w:rStyle w:val="Strong"/>
          <w:b w:val="0"/>
          <w:bCs w:val="0"/>
        </w:rPr>
      </w:pPr>
      <w:r w:rsidRPr="00000F1D">
        <w:rPr>
          <w:rStyle w:val="Strong"/>
          <w:b w:val="0"/>
          <w:bCs w:val="0"/>
        </w:rPr>
        <w:t xml:space="preserve">For additional information please see the Evidence-Based Interventions Under the ESSA webpage at </w:t>
      </w:r>
      <w:hyperlink r:id="rId9" w:tooltip="Link to Evidence-Based Interventions Under the ESSA - California Department of Education" w:history="1">
        <w:r w:rsidRPr="00000F1D">
          <w:rPr>
            <w:rStyle w:val="Hyperlink"/>
            <w:color w:val="202020"/>
            <w:u w:val="none"/>
          </w:rPr>
          <w:t>https://www.cde.ca.gov/re/es/evidence.asp</w:t>
        </w:r>
      </w:hyperlink>
      <w:r w:rsidRPr="00000F1D">
        <w:rPr>
          <w:rStyle w:val="Strong"/>
          <w:b w:val="0"/>
          <w:bCs w:val="0"/>
        </w:rPr>
        <w:t xml:space="preserve">. </w:t>
      </w:r>
    </w:p>
    <w:p w14:paraId="58B034C9" w14:textId="264BF73C" w:rsidR="00A03C62" w:rsidRPr="008F1E58" w:rsidRDefault="00A03C62" w:rsidP="00000F1D">
      <w:pPr>
        <w:pStyle w:val="Bullet"/>
      </w:pPr>
      <w:r w:rsidRPr="00740E1B">
        <w:lastRenderedPageBreak/>
        <w:t>The LEA must use the remaining ESSER III f</w:t>
      </w:r>
      <w:r w:rsidRPr="00353C80">
        <w:t>unds consistent with section 2001(e)(2) of the ARP Act.</w:t>
      </w:r>
      <w:r w:rsidR="00174D21" w:rsidRPr="008F1E58">
        <w:t xml:space="preserve"> </w:t>
      </w:r>
      <w:r w:rsidRPr="008F1E58">
        <w:t xml:space="preserve"> </w:t>
      </w:r>
    </w:p>
    <w:p w14:paraId="571AA0A3" w14:textId="77777777" w:rsidR="00A03C62" w:rsidRPr="00000F1D" w:rsidRDefault="00A03C62" w:rsidP="00000F1D">
      <w:pPr>
        <w:pStyle w:val="Body"/>
        <w:rPr>
          <w:b/>
          <w:bCs/>
        </w:rPr>
      </w:pPr>
      <w:r w:rsidRPr="00000F1D">
        <w:rPr>
          <w:b/>
          <w:bCs/>
        </w:rPr>
        <w:t>Community Engagement</w:t>
      </w:r>
    </w:p>
    <w:p w14:paraId="339166FB" w14:textId="77777777" w:rsidR="00A03C62" w:rsidRPr="00FC6A13" w:rsidRDefault="00A03C62" w:rsidP="00000F1D">
      <w:pPr>
        <w:pStyle w:val="Bullet"/>
      </w:pPr>
      <w:r w:rsidRPr="00740E1B">
        <w:t>An LEA’s decisions about how to use its ESSER III funds will directly impact the students, families, and the local community, and thus the LEA’s plan must</w:t>
      </w:r>
      <w:r w:rsidRPr="00353C80">
        <w:t xml:space="preserve"> be tailored to the specific needs faced by students and schools. </w:t>
      </w:r>
    </w:p>
    <w:p w14:paraId="6C2875E2" w14:textId="77777777" w:rsidR="00A03C62" w:rsidRPr="008F1E58" w:rsidRDefault="00A03C62" w:rsidP="00000F1D">
      <w:pPr>
        <w:pStyle w:val="Bullet"/>
      </w:pPr>
      <w:r w:rsidRPr="008F1E58">
        <w:t xml:space="preserve">An LEA must engage in meaningful consultation with the following community members, as applicable to the LEA: </w:t>
      </w:r>
    </w:p>
    <w:p w14:paraId="673F62F9" w14:textId="4B586F92" w:rsidR="00A03C62" w:rsidRPr="008F1E58" w:rsidRDefault="00A03C62" w:rsidP="00000F1D">
      <w:pPr>
        <w:pStyle w:val="bulletindent"/>
      </w:pPr>
      <w:r w:rsidRPr="008F1E58">
        <w:t xml:space="preserve">Students </w:t>
      </w:r>
    </w:p>
    <w:p w14:paraId="05C4DEAD" w14:textId="1ABD056A" w:rsidR="00A03C62" w:rsidRPr="008F1E58" w:rsidRDefault="00A03C62" w:rsidP="00000F1D">
      <w:pPr>
        <w:pStyle w:val="bulletindent"/>
      </w:pPr>
      <w:r w:rsidRPr="008F1E58">
        <w:t xml:space="preserve">Families, including families that speak languages other than English </w:t>
      </w:r>
    </w:p>
    <w:p w14:paraId="6C9F3BC2" w14:textId="60857106" w:rsidR="00A03C62" w:rsidRPr="008F1E58" w:rsidRDefault="00A03C62" w:rsidP="00000F1D">
      <w:pPr>
        <w:pStyle w:val="bulletindent"/>
      </w:pPr>
      <w:r w:rsidRPr="008F1E58">
        <w:t xml:space="preserve">School and district administrators, including special education administrators </w:t>
      </w:r>
    </w:p>
    <w:p w14:paraId="33C4620F" w14:textId="7A4DD1E3" w:rsidR="00A03C62" w:rsidRPr="008F1E58" w:rsidRDefault="00A03C62" w:rsidP="00000F1D">
      <w:pPr>
        <w:pStyle w:val="bulletindent"/>
      </w:pPr>
      <w:r w:rsidRPr="008F1E58">
        <w:t xml:space="preserve">Teachers, principals, school leaders, other educators, school staff, and local bargaining units, as applicable </w:t>
      </w:r>
    </w:p>
    <w:p w14:paraId="0FF2B889" w14:textId="1679E216" w:rsidR="00A03C62" w:rsidRPr="005C3966" w:rsidRDefault="00A03C62" w:rsidP="00A03C62">
      <w:pPr>
        <w:shd w:val="clear" w:color="auto" w:fill="FFFFFF" w:themeFill="background1"/>
        <w:spacing w:before="120" w:after="120"/>
        <w:rPr>
          <w:rFonts w:ascii="Times New Roman" w:hAnsi="Times New Roman" w:cs="Times New Roman"/>
          <w:sz w:val="24"/>
          <w:szCs w:val="24"/>
        </w:rPr>
      </w:pPr>
      <w:r w:rsidRPr="005C3966">
        <w:rPr>
          <w:rFonts w:ascii="Times New Roman" w:hAnsi="Times New Roman" w:cs="Times New Roman"/>
          <w:sz w:val="24"/>
          <w:szCs w:val="24"/>
        </w:rPr>
        <w:t xml:space="preserve">Information and resources that support effective community engagement may be found under </w:t>
      </w:r>
      <w:r w:rsidRPr="00000F1D">
        <w:rPr>
          <w:rFonts w:ascii="Times New Roman" w:hAnsi="Times New Roman" w:cs="Times New Roman"/>
          <w:sz w:val="24"/>
          <w:szCs w:val="24"/>
        </w:rPr>
        <w:t>Resources</w:t>
      </w:r>
      <w:r w:rsidRPr="005C3966">
        <w:rPr>
          <w:rFonts w:ascii="Times New Roman" w:hAnsi="Times New Roman" w:cs="Times New Roman"/>
          <w:sz w:val="24"/>
          <w:szCs w:val="24"/>
        </w:rPr>
        <w:t xml:space="preserve"> on the following webpage of the CDE’s website: </w:t>
      </w:r>
      <w:hyperlink r:id="rId10" w:tooltip="Link to Local Control and Accountability Plan (LCAP) web page - California Department of Education" w:history="1">
        <w:r w:rsidRPr="005C3966">
          <w:rPr>
            <w:rStyle w:val="Hyperlink"/>
            <w:rFonts w:ascii="Times New Roman" w:hAnsi="Times New Roman" w:cs="Times New Roman"/>
            <w:color w:val="0000FF"/>
            <w:sz w:val="24"/>
            <w:szCs w:val="24"/>
          </w:rPr>
          <w:t>https://www.cde.ca.gov/re/lc</w:t>
        </w:r>
      </w:hyperlink>
      <w:r w:rsidRPr="005C3966">
        <w:rPr>
          <w:rFonts w:ascii="Times New Roman" w:hAnsi="Times New Roman" w:cs="Times New Roman"/>
          <w:sz w:val="24"/>
          <w:szCs w:val="24"/>
        </w:rPr>
        <w:t>.</w:t>
      </w:r>
    </w:p>
    <w:p w14:paraId="2B891558" w14:textId="77777777" w:rsidR="00BF1060" w:rsidRPr="00E834F3" w:rsidRDefault="00BF1060" w:rsidP="00BF1060">
      <w:pPr>
        <w:pStyle w:val="Subhead1"/>
      </w:pPr>
      <w:bookmarkStart w:id="34" w:name="_Toc77836543"/>
      <w:bookmarkStart w:id="35" w:name="_Toc77838785"/>
      <w:bookmarkStart w:id="36" w:name="_Toc77843050"/>
      <w:bookmarkStart w:id="37" w:name="_Toc72932894"/>
      <w:bookmarkEnd w:id="33"/>
      <w:r w:rsidRPr="00E834F3">
        <w:t>Planning Factors for 202</w:t>
      </w:r>
      <w:r>
        <w:t>1-22</w:t>
      </w:r>
      <w:r w:rsidRPr="00E834F3">
        <w:t xml:space="preserve"> and MYPs</w:t>
      </w:r>
      <w:bookmarkEnd w:id="34"/>
      <w:bookmarkEnd w:id="35"/>
      <w:bookmarkEnd w:id="36"/>
      <w:r w:rsidRPr="00E834F3">
        <w:t xml:space="preserve"> </w:t>
      </w:r>
    </w:p>
    <w:p w14:paraId="450493E1" w14:textId="5CE319C4" w:rsidR="00BF1060" w:rsidRPr="006C7C62" w:rsidRDefault="00BF1060" w:rsidP="00BF1060">
      <w:pPr>
        <w:pStyle w:val="Body"/>
      </w:pPr>
      <w:r w:rsidRPr="006C7C62">
        <w:t xml:space="preserve">Key planning factors for LEAs to incorporate into their </w:t>
      </w:r>
      <w:r>
        <w:t xml:space="preserve">45-Day Revision for the 2021-22 </w:t>
      </w:r>
      <w:r w:rsidR="00DE54E1">
        <w:t>Adopted Budget</w:t>
      </w:r>
      <w:r>
        <w:t xml:space="preserve"> </w:t>
      </w:r>
      <w:r w:rsidRPr="006C7C62">
        <w:t xml:space="preserve">and multiyear projections are listed below and are based on the latest information available. </w:t>
      </w:r>
    </w:p>
    <w:tbl>
      <w:tblPr>
        <w:tblStyle w:val="GridTable6Colorful-Accent11"/>
        <w:tblW w:w="9355" w:type="dxa"/>
        <w:tblLook w:val="04A0" w:firstRow="1" w:lastRow="0" w:firstColumn="1" w:lastColumn="0" w:noHBand="0" w:noVBand="1"/>
      </w:tblPr>
      <w:tblGrid>
        <w:gridCol w:w="4495"/>
        <w:gridCol w:w="1710"/>
        <w:gridCol w:w="1620"/>
        <w:gridCol w:w="1530"/>
      </w:tblGrid>
      <w:tr w:rsidR="00BF1060" w:rsidRPr="00A16F23" w14:paraId="4D942145" w14:textId="77777777" w:rsidTr="00000F1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0" w:type="dxa"/>
          </w:tcPr>
          <w:p w14:paraId="5BAA0072" w14:textId="77777777" w:rsidR="00BF1060" w:rsidRPr="00000F1D" w:rsidRDefault="00BF1060" w:rsidP="00E20078">
            <w:pPr>
              <w:pStyle w:val="sourcestext"/>
              <w:rPr>
                <w:rFonts w:ascii="Times New Roman" w:hAnsi="Times New Roman" w:cs="Times New Roman"/>
                <w:b/>
                <w:bCs/>
                <w:color w:val="auto"/>
              </w:rPr>
            </w:pPr>
            <w:r w:rsidRPr="00000F1D">
              <w:rPr>
                <w:rFonts w:ascii="Times New Roman" w:hAnsi="Times New Roman" w:cs="Times New Roman"/>
              </w:rPr>
              <w:t>Planning Factor</w:t>
            </w:r>
          </w:p>
        </w:tc>
        <w:tc>
          <w:tcPr>
            <w:tcW w:w="0" w:type="dxa"/>
          </w:tcPr>
          <w:p w14:paraId="23DFE9DC" w14:textId="77777777" w:rsidR="00BF1060" w:rsidRPr="00000F1D" w:rsidRDefault="00BF1060" w:rsidP="00E20078">
            <w:pPr>
              <w:pStyle w:val="sources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000F1D">
              <w:rPr>
                <w:rFonts w:ascii="Times New Roman" w:hAnsi="Times New Roman" w:cs="Times New Roman"/>
              </w:rPr>
              <w:t>2021-22</w:t>
            </w:r>
          </w:p>
        </w:tc>
        <w:tc>
          <w:tcPr>
            <w:tcW w:w="0" w:type="dxa"/>
          </w:tcPr>
          <w:p w14:paraId="601B6B98" w14:textId="77777777" w:rsidR="00BF1060" w:rsidRPr="00000F1D" w:rsidRDefault="00BF1060" w:rsidP="00E20078">
            <w:pPr>
              <w:pStyle w:val="sources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000F1D">
              <w:rPr>
                <w:rFonts w:ascii="Times New Roman" w:hAnsi="Times New Roman" w:cs="Times New Roman"/>
              </w:rPr>
              <w:t>2022-23</w:t>
            </w:r>
          </w:p>
        </w:tc>
        <w:tc>
          <w:tcPr>
            <w:tcW w:w="0" w:type="dxa"/>
          </w:tcPr>
          <w:p w14:paraId="16FB9BC9" w14:textId="77777777" w:rsidR="00BF1060" w:rsidRPr="00000F1D" w:rsidRDefault="00BF1060" w:rsidP="00E20078">
            <w:pPr>
              <w:pStyle w:val="sources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000F1D">
              <w:rPr>
                <w:rFonts w:ascii="Times New Roman" w:hAnsi="Times New Roman" w:cs="Times New Roman"/>
              </w:rPr>
              <w:t>2023-24</w:t>
            </w:r>
          </w:p>
        </w:tc>
      </w:tr>
      <w:tr w:rsidR="00BF1060" w:rsidRPr="00740E1B" w14:paraId="1B03D3C3" w14:textId="77777777" w:rsidTr="0031606A">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4495" w:type="dxa"/>
          </w:tcPr>
          <w:p w14:paraId="46CD3732" w14:textId="77777777" w:rsidR="00BF1060" w:rsidRPr="00000F1D" w:rsidRDefault="00BF1060" w:rsidP="00E20078">
            <w:pPr>
              <w:pStyle w:val="sourcestext"/>
              <w:rPr>
                <w:rFonts w:ascii="Times New Roman" w:hAnsi="Times New Roman" w:cs="Times New Roman"/>
                <w:color w:val="auto"/>
              </w:rPr>
            </w:pPr>
            <w:r w:rsidRPr="00000F1D">
              <w:rPr>
                <w:rFonts w:ascii="Times New Roman" w:hAnsi="Times New Roman" w:cs="Times New Roman"/>
                <w:color w:val="auto"/>
              </w:rPr>
              <w:t>Cost of Living Adjustment (COLA)</w:t>
            </w:r>
          </w:p>
          <w:p w14:paraId="49CB5EEB" w14:textId="0F6061C0"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LCFF COLA</w:t>
            </w:r>
          </w:p>
          <w:p w14:paraId="1A052A7A" w14:textId="7F92CBA7" w:rsidR="00BF1060" w:rsidRPr="00000F1D" w:rsidRDefault="00174D21" w:rsidP="00E20078">
            <w:pPr>
              <w:pStyle w:val="sourcestext"/>
              <w:rPr>
                <w:rFonts w:ascii="Times New Roman" w:hAnsi="Times New Roman" w:cs="Times New Roman"/>
                <w:bCs/>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Special Education COLA</w:t>
            </w:r>
          </w:p>
          <w:p w14:paraId="533B3A46" w14:textId="0B77B4BA" w:rsidR="00BF1060" w:rsidRPr="00000F1D" w:rsidRDefault="00174D21" w:rsidP="00E20078">
            <w:pPr>
              <w:pStyle w:val="sourcestext"/>
              <w:rPr>
                <w:rFonts w:ascii="Times New Roman" w:hAnsi="Times New Roman" w:cs="Times New Roman"/>
                <w:bCs/>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Statutory COLA</w:t>
            </w:r>
          </w:p>
          <w:p w14:paraId="223772DD" w14:textId="3A86A016" w:rsidR="00BF1060" w:rsidRPr="00000F1D" w:rsidRDefault="00174D21" w:rsidP="00E20078">
            <w:pPr>
              <w:pStyle w:val="sourcestext"/>
              <w:rPr>
                <w:rFonts w:ascii="Times New Roman" w:hAnsi="Times New Roman" w:cs="Times New Roman"/>
                <w:b/>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2020-21 COLA recaptured in 2021-22</w:t>
            </w:r>
          </w:p>
        </w:tc>
        <w:tc>
          <w:tcPr>
            <w:tcW w:w="1710" w:type="dxa"/>
          </w:tcPr>
          <w:p w14:paraId="443E3D2F"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2BE170E"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5.07%</w:t>
            </w:r>
          </w:p>
          <w:p w14:paraId="71874BE6"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4.05%</w:t>
            </w:r>
          </w:p>
          <w:p w14:paraId="6E77B242"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1.70%</w:t>
            </w:r>
          </w:p>
          <w:p w14:paraId="00FE89FD"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2.31%</w:t>
            </w:r>
          </w:p>
        </w:tc>
        <w:tc>
          <w:tcPr>
            <w:tcW w:w="1620" w:type="dxa"/>
          </w:tcPr>
          <w:p w14:paraId="400053B3"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797DAFC"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2.48%</w:t>
            </w:r>
          </w:p>
          <w:p w14:paraId="47B8DC80"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2.48%</w:t>
            </w:r>
          </w:p>
          <w:p w14:paraId="19EFE402"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2.48%</w:t>
            </w:r>
          </w:p>
        </w:tc>
        <w:tc>
          <w:tcPr>
            <w:tcW w:w="1530" w:type="dxa"/>
          </w:tcPr>
          <w:p w14:paraId="230ADB79"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72927404"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3.11%</w:t>
            </w:r>
          </w:p>
          <w:p w14:paraId="7779AD18"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3.11%</w:t>
            </w:r>
          </w:p>
          <w:p w14:paraId="11F26470"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3.11%</w:t>
            </w:r>
          </w:p>
        </w:tc>
      </w:tr>
      <w:tr w:rsidR="00BF1060" w:rsidRPr="00740E1B" w14:paraId="79FD468D" w14:textId="77777777" w:rsidTr="0031606A">
        <w:trPr>
          <w:trHeight w:val="386"/>
        </w:trPr>
        <w:tc>
          <w:tcPr>
            <w:cnfStyle w:val="001000000000" w:firstRow="0" w:lastRow="0" w:firstColumn="1" w:lastColumn="0" w:oddVBand="0" w:evenVBand="0" w:oddHBand="0" w:evenHBand="0" w:firstRowFirstColumn="0" w:firstRowLastColumn="0" w:lastRowFirstColumn="0" w:lastRowLastColumn="0"/>
            <w:tcW w:w="4495" w:type="dxa"/>
          </w:tcPr>
          <w:p w14:paraId="7CDFA6B8" w14:textId="77777777" w:rsidR="00BF1060" w:rsidRPr="00000F1D" w:rsidRDefault="00BF1060" w:rsidP="00E20078">
            <w:pPr>
              <w:pStyle w:val="sourcestext"/>
              <w:rPr>
                <w:rFonts w:ascii="Times New Roman" w:hAnsi="Times New Roman" w:cs="Times New Roman"/>
                <w:color w:val="auto"/>
              </w:rPr>
            </w:pPr>
            <w:r w:rsidRPr="00000F1D">
              <w:rPr>
                <w:rFonts w:ascii="Times New Roman" w:hAnsi="Times New Roman" w:cs="Times New Roman"/>
                <w:color w:val="auto"/>
              </w:rPr>
              <w:t>Employer Benefit Rates</w:t>
            </w:r>
          </w:p>
          <w:p w14:paraId="2B0BDA9B" w14:textId="0B030915"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CalSTRS</w:t>
            </w:r>
            <w:r w:rsidRPr="00000F1D">
              <w:rPr>
                <w:rFonts w:ascii="Times New Roman" w:hAnsi="Times New Roman" w:cs="Times New Roman"/>
                <w:color w:val="auto"/>
              </w:rPr>
              <w:t xml:space="preserve"> </w:t>
            </w:r>
          </w:p>
          <w:p w14:paraId="00CE263B" w14:textId="66968661" w:rsidR="00BF1060" w:rsidRPr="00000F1D" w:rsidRDefault="00174D21" w:rsidP="00E20078">
            <w:pPr>
              <w:pStyle w:val="sourcestext"/>
              <w:rPr>
                <w:rFonts w:ascii="Times New Roman" w:hAnsi="Times New Roman" w:cs="Times New Roman"/>
                <w:bCs/>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CalPERS-Schools</w:t>
            </w:r>
            <w:r w:rsidRPr="00000F1D">
              <w:rPr>
                <w:rFonts w:ascii="Times New Roman" w:hAnsi="Times New Roman" w:cs="Times New Roman"/>
                <w:color w:val="auto"/>
              </w:rPr>
              <w:t xml:space="preserve"> </w:t>
            </w:r>
          </w:p>
          <w:p w14:paraId="7F9D6891" w14:textId="37AE3079" w:rsidR="00BF1060" w:rsidRPr="00000F1D" w:rsidRDefault="00174D21" w:rsidP="00E20078">
            <w:pPr>
              <w:pStyle w:val="sourcestext"/>
              <w:rPr>
                <w:rFonts w:ascii="Times New Roman" w:hAnsi="Times New Roman" w:cs="Times New Roman"/>
                <w:b/>
                <w:bCs/>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State Unemployment Insurance</w:t>
            </w:r>
          </w:p>
        </w:tc>
        <w:tc>
          <w:tcPr>
            <w:tcW w:w="1710" w:type="dxa"/>
          </w:tcPr>
          <w:p w14:paraId="54C1794A"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D56DF95"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16.92%</w:t>
            </w:r>
          </w:p>
          <w:p w14:paraId="28CC067C"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22.91%</w:t>
            </w:r>
          </w:p>
          <w:p w14:paraId="36219518" w14:textId="308667C0" w:rsidR="00BF1060" w:rsidRPr="00000F1D" w:rsidRDefault="00174D21"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 xml:space="preserve"> </w:t>
            </w:r>
            <w:r w:rsidR="00DF20B8">
              <w:rPr>
                <w:rFonts w:ascii="Times New Roman" w:hAnsi="Times New Roman" w:cs="Times New Roman"/>
                <w:color w:val="auto"/>
              </w:rPr>
              <w:t xml:space="preserve"> </w:t>
            </w:r>
            <w:r w:rsidR="00BF1060" w:rsidRPr="00000F1D">
              <w:rPr>
                <w:rFonts w:ascii="Times New Roman" w:hAnsi="Times New Roman" w:cs="Times New Roman"/>
                <w:color w:val="auto"/>
              </w:rPr>
              <w:t>0.50%</w:t>
            </w:r>
          </w:p>
        </w:tc>
        <w:tc>
          <w:tcPr>
            <w:tcW w:w="1620" w:type="dxa"/>
          </w:tcPr>
          <w:p w14:paraId="41618F96"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6CE4D79" w14:textId="2A1387FB"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w:t>
            </w:r>
            <w:r w:rsidR="000265FE" w:rsidRPr="00000F1D">
              <w:rPr>
                <w:rFonts w:ascii="Times New Roman" w:hAnsi="Times New Roman" w:cs="Times New Roman"/>
                <w:color w:val="auto"/>
              </w:rPr>
              <w:t>9</w:t>
            </w:r>
            <w:r w:rsidRPr="00000F1D">
              <w:rPr>
                <w:rFonts w:ascii="Times New Roman" w:hAnsi="Times New Roman" w:cs="Times New Roman"/>
                <w:color w:val="auto"/>
              </w:rPr>
              <w:t>.10%</w:t>
            </w:r>
          </w:p>
          <w:p w14:paraId="437F0EF2"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26.10%</w:t>
            </w:r>
          </w:p>
          <w:p w14:paraId="7C6D3AA5" w14:textId="2F4709C4" w:rsidR="00BF1060" w:rsidRPr="00000F1D" w:rsidRDefault="00174D21"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 xml:space="preserve"> </w:t>
            </w:r>
            <w:r w:rsidR="00DF20B8">
              <w:rPr>
                <w:rFonts w:ascii="Times New Roman" w:hAnsi="Times New Roman" w:cs="Times New Roman"/>
                <w:color w:val="auto"/>
              </w:rPr>
              <w:t xml:space="preserve"> </w:t>
            </w:r>
            <w:r w:rsidR="00BF1060" w:rsidRPr="00000F1D">
              <w:rPr>
                <w:rFonts w:ascii="Times New Roman" w:hAnsi="Times New Roman" w:cs="Times New Roman"/>
                <w:color w:val="auto"/>
              </w:rPr>
              <w:t>0.50%</w:t>
            </w:r>
          </w:p>
        </w:tc>
        <w:tc>
          <w:tcPr>
            <w:tcW w:w="1530" w:type="dxa"/>
          </w:tcPr>
          <w:p w14:paraId="056FB8E4"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2A14BA80" w14:textId="220AEB88"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w:t>
            </w:r>
            <w:r w:rsidR="000265FE" w:rsidRPr="00000F1D">
              <w:rPr>
                <w:rFonts w:ascii="Times New Roman" w:hAnsi="Times New Roman" w:cs="Times New Roman"/>
                <w:color w:val="auto"/>
              </w:rPr>
              <w:t>9</w:t>
            </w:r>
            <w:r w:rsidRPr="00000F1D">
              <w:rPr>
                <w:rFonts w:ascii="Times New Roman" w:hAnsi="Times New Roman" w:cs="Times New Roman"/>
                <w:color w:val="auto"/>
              </w:rPr>
              <w:t>.10%</w:t>
            </w:r>
          </w:p>
          <w:p w14:paraId="784398C3"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27.10%</w:t>
            </w:r>
          </w:p>
          <w:p w14:paraId="54486FFE" w14:textId="534E75F3" w:rsidR="00BF1060" w:rsidRPr="00000F1D" w:rsidRDefault="00174D21"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 xml:space="preserve"> </w:t>
            </w:r>
            <w:r w:rsidR="00DF20B8">
              <w:rPr>
                <w:rFonts w:ascii="Times New Roman" w:hAnsi="Times New Roman" w:cs="Times New Roman"/>
                <w:color w:val="auto"/>
              </w:rPr>
              <w:t xml:space="preserve"> </w:t>
            </w:r>
            <w:r w:rsidR="00BF1060" w:rsidRPr="00000F1D">
              <w:rPr>
                <w:rFonts w:ascii="Times New Roman" w:hAnsi="Times New Roman" w:cs="Times New Roman"/>
                <w:color w:val="auto"/>
              </w:rPr>
              <w:t>0.50%</w:t>
            </w:r>
          </w:p>
        </w:tc>
      </w:tr>
      <w:tr w:rsidR="00BF1060" w:rsidRPr="00740E1B" w14:paraId="5238C0E1" w14:textId="77777777" w:rsidTr="0031606A">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495" w:type="dxa"/>
          </w:tcPr>
          <w:p w14:paraId="048882EA" w14:textId="77777777" w:rsidR="00BF1060" w:rsidRPr="00000F1D" w:rsidRDefault="00BF1060" w:rsidP="00E20078">
            <w:pPr>
              <w:pStyle w:val="sourcestext"/>
              <w:rPr>
                <w:rFonts w:ascii="Times New Roman" w:hAnsi="Times New Roman" w:cs="Times New Roman"/>
                <w:color w:val="auto"/>
              </w:rPr>
            </w:pPr>
            <w:r w:rsidRPr="00000F1D">
              <w:rPr>
                <w:rFonts w:ascii="Times New Roman" w:hAnsi="Times New Roman" w:cs="Times New Roman"/>
                <w:color w:val="auto"/>
              </w:rPr>
              <w:t>Lottery</w:t>
            </w:r>
          </w:p>
          <w:p w14:paraId="04130FDF" w14:textId="040FCBA4"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Unrestricted per ADA </w:t>
            </w:r>
          </w:p>
          <w:p w14:paraId="6A548EB6" w14:textId="6D03F651"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Prop. 20 per ADA</w:t>
            </w:r>
          </w:p>
        </w:tc>
        <w:tc>
          <w:tcPr>
            <w:tcW w:w="1710" w:type="dxa"/>
          </w:tcPr>
          <w:p w14:paraId="48F3DEDE"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4EB9C310" w14:textId="1D19F5D8"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w:t>
            </w:r>
            <w:r w:rsidR="00F76DFE">
              <w:rPr>
                <w:rFonts w:ascii="Times New Roman" w:hAnsi="Times New Roman" w:cs="Times New Roman"/>
                <w:color w:val="auto"/>
              </w:rPr>
              <w:t>63</w:t>
            </w:r>
          </w:p>
          <w:p w14:paraId="477D238A" w14:textId="57C3D697" w:rsidR="00BF1060" w:rsidRPr="00000F1D" w:rsidRDefault="00DF20B8"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w:t>
            </w:r>
            <w:r w:rsidR="00BF1060" w:rsidRPr="00000F1D">
              <w:rPr>
                <w:rFonts w:ascii="Times New Roman" w:hAnsi="Times New Roman" w:cs="Times New Roman"/>
                <w:color w:val="auto"/>
              </w:rPr>
              <w:t>$</w:t>
            </w:r>
            <w:r w:rsidR="00F76DFE">
              <w:rPr>
                <w:rFonts w:ascii="Times New Roman" w:hAnsi="Times New Roman" w:cs="Times New Roman"/>
                <w:color w:val="auto"/>
              </w:rPr>
              <w:t>65</w:t>
            </w:r>
          </w:p>
        </w:tc>
        <w:tc>
          <w:tcPr>
            <w:tcW w:w="1620" w:type="dxa"/>
          </w:tcPr>
          <w:p w14:paraId="26C94019"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11ACC631" w14:textId="2D54ACE5"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w:t>
            </w:r>
            <w:r w:rsidR="00F76DFE">
              <w:rPr>
                <w:rFonts w:ascii="Times New Roman" w:hAnsi="Times New Roman" w:cs="Times New Roman"/>
                <w:color w:val="auto"/>
              </w:rPr>
              <w:t>63</w:t>
            </w:r>
          </w:p>
          <w:p w14:paraId="2C3C07BD" w14:textId="5C39912D" w:rsidR="00BF1060" w:rsidRPr="00000F1D" w:rsidRDefault="00DF20B8"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w:t>
            </w:r>
            <w:r w:rsidR="00BF1060" w:rsidRPr="00000F1D">
              <w:rPr>
                <w:rFonts w:ascii="Times New Roman" w:hAnsi="Times New Roman" w:cs="Times New Roman"/>
                <w:color w:val="auto"/>
              </w:rPr>
              <w:t>$</w:t>
            </w:r>
            <w:r w:rsidR="00F76DFE">
              <w:rPr>
                <w:rFonts w:ascii="Times New Roman" w:hAnsi="Times New Roman" w:cs="Times New Roman"/>
                <w:color w:val="auto"/>
              </w:rPr>
              <w:t>65</w:t>
            </w:r>
          </w:p>
        </w:tc>
        <w:tc>
          <w:tcPr>
            <w:tcW w:w="1530" w:type="dxa"/>
          </w:tcPr>
          <w:p w14:paraId="1601B182" w14:textId="77777777"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5A038584" w14:textId="04AB265B" w:rsidR="00BF1060" w:rsidRPr="00000F1D" w:rsidRDefault="00BF1060"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w:t>
            </w:r>
            <w:r w:rsidR="00F76DFE">
              <w:rPr>
                <w:rFonts w:ascii="Times New Roman" w:hAnsi="Times New Roman" w:cs="Times New Roman"/>
                <w:color w:val="auto"/>
              </w:rPr>
              <w:t>63</w:t>
            </w:r>
          </w:p>
          <w:p w14:paraId="5426091F" w14:textId="0BD2CE64" w:rsidR="00BF1060" w:rsidRPr="00000F1D" w:rsidRDefault="00DF20B8" w:rsidP="00E20078">
            <w:pPr>
              <w:pStyle w:val="sources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w:t>
            </w:r>
            <w:r w:rsidR="00BF1060" w:rsidRPr="00000F1D">
              <w:rPr>
                <w:rFonts w:ascii="Times New Roman" w:hAnsi="Times New Roman" w:cs="Times New Roman"/>
                <w:color w:val="auto"/>
              </w:rPr>
              <w:t>$</w:t>
            </w:r>
            <w:r w:rsidR="00F76DFE">
              <w:rPr>
                <w:rFonts w:ascii="Times New Roman" w:hAnsi="Times New Roman" w:cs="Times New Roman"/>
                <w:color w:val="auto"/>
              </w:rPr>
              <w:t>65</w:t>
            </w:r>
          </w:p>
        </w:tc>
      </w:tr>
      <w:tr w:rsidR="00BF1060" w:rsidRPr="00740E1B" w14:paraId="7771E7A7" w14:textId="77777777" w:rsidTr="0031606A">
        <w:trPr>
          <w:trHeight w:val="979"/>
        </w:trPr>
        <w:tc>
          <w:tcPr>
            <w:cnfStyle w:val="001000000000" w:firstRow="0" w:lastRow="0" w:firstColumn="1" w:lastColumn="0" w:oddVBand="0" w:evenVBand="0" w:oddHBand="0" w:evenHBand="0" w:firstRowFirstColumn="0" w:firstRowLastColumn="0" w:lastRowFirstColumn="0" w:lastRowLastColumn="0"/>
            <w:tcW w:w="4495" w:type="dxa"/>
          </w:tcPr>
          <w:p w14:paraId="664C50AD" w14:textId="77777777" w:rsidR="00BF1060" w:rsidRPr="00000F1D" w:rsidRDefault="00BF1060" w:rsidP="00E20078">
            <w:pPr>
              <w:pStyle w:val="sourcestext"/>
              <w:rPr>
                <w:rFonts w:ascii="Times New Roman" w:hAnsi="Times New Roman" w:cs="Times New Roman"/>
                <w:color w:val="auto"/>
              </w:rPr>
            </w:pPr>
            <w:r w:rsidRPr="00000F1D">
              <w:rPr>
                <w:rFonts w:ascii="Times New Roman" w:hAnsi="Times New Roman" w:cs="Times New Roman"/>
                <w:color w:val="auto"/>
              </w:rPr>
              <w:t>Mandated Block Grant</w:t>
            </w:r>
          </w:p>
          <w:p w14:paraId="18BFEDFE" w14:textId="4C0D73EA"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Districts</w:t>
            </w:r>
          </w:p>
          <w:p w14:paraId="1619E764" w14:textId="67DC36A3"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K-8 per ADA</w:t>
            </w:r>
          </w:p>
          <w:p w14:paraId="7ACEB10E" w14:textId="3B4724B4"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9-12 per ADA </w:t>
            </w:r>
          </w:p>
          <w:p w14:paraId="666B5C19" w14:textId="3357E1D6"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 xml:space="preserve"> Charters</w:t>
            </w:r>
          </w:p>
          <w:p w14:paraId="3FB90838" w14:textId="6FB54927"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K-8 per ADA</w:t>
            </w:r>
          </w:p>
          <w:p w14:paraId="387D1DB7" w14:textId="231C61C2" w:rsidR="00BF1060" w:rsidRPr="00000F1D" w:rsidRDefault="00174D21" w:rsidP="00E20078">
            <w:pPr>
              <w:pStyle w:val="sourcestext"/>
              <w:rPr>
                <w:rFonts w:ascii="Times New Roman" w:hAnsi="Times New Roman" w:cs="Times New Roman"/>
                <w:color w:val="auto"/>
              </w:rPr>
            </w:pPr>
            <w:r w:rsidRPr="00000F1D">
              <w:rPr>
                <w:rFonts w:ascii="Times New Roman" w:hAnsi="Times New Roman" w:cs="Times New Roman"/>
                <w:color w:val="auto"/>
              </w:rPr>
              <w:t xml:space="preserve">   </w:t>
            </w:r>
            <w:r w:rsidR="00BF1060" w:rsidRPr="00000F1D">
              <w:rPr>
                <w:rFonts w:ascii="Times New Roman" w:hAnsi="Times New Roman" w:cs="Times New Roman"/>
                <w:color w:val="auto"/>
              </w:rPr>
              <w:t>9-12 per ADA</w:t>
            </w:r>
          </w:p>
        </w:tc>
        <w:tc>
          <w:tcPr>
            <w:tcW w:w="1710" w:type="dxa"/>
          </w:tcPr>
          <w:p w14:paraId="32E9D95C"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0447D21"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E814B9A" w14:textId="0366BB4A"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$32.7</w:t>
            </w:r>
            <w:r w:rsidR="000265FE" w:rsidRPr="00000F1D">
              <w:rPr>
                <w:rFonts w:ascii="Times New Roman" w:hAnsi="Times New Roman" w:cs="Times New Roman"/>
                <w:color w:val="auto"/>
              </w:rPr>
              <w:t>9</w:t>
            </w:r>
          </w:p>
          <w:p w14:paraId="713E535F" w14:textId="6A4DA7EE"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$6</w:t>
            </w:r>
            <w:r w:rsidR="000265FE" w:rsidRPr="00000F1D">
              <w:rPr>
                <w:rFonts w:ascii="Times New Roman" w:hAnsi="Times New Roman" w:cs="Times New Roman"/>
                <w:color w:val="auto"/>
              </w:rPr>
              <w:t>3.17</w:t>
            </w:r>
          </w:p>
          <w:p w14:paraId="7F114A3C"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559E132" w14:textId="65B71A6D"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$17.</w:t>
            </w:r>
            <w:r w:rsidR="000265FE" w:rsidRPr="00000F1D">
              <w:rPr>
                <w:rFonts w:ascii="Times New Roman" w:hAnsi="Times New Roman" w:cs="Times New Roman"/>
                <w:color w:val="auto"/>
              </w:rPr>
              <w:t>21</w:t>
            </w:r>
          </w:p>
          <w:p w14:paraId="74212FAD" w14:textId="00710EE3"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$47.</w:t>
            </w:r>
            <w:r w:rsidR="000265FE" w:rsidRPr="00000F1D">
              <w:rPr>
                <w:rFonts w:ascii="Times New Roman" w:hAnsi="Times New Roman" w:cs="Times New Roman"/>
                <w:color w:val="auto"/>
              </w:rPr>
              <w:t>84</w:t>
            </w:r>
          </w:p>
        </w:tc>
        <w:tc>
          <w:tcPr>
            <w:tcW w:w="1620" w:type="dxa"/>
          </w:tcPr>
          <w:p w14:paraId="382EEAFF"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AFA08E2"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533B48B" w14:textId="3AAF6E32"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$33.</w:t>
            </w:r>
            <w:r w:rsidR="000265FE" w:rsidRPr="00000F1D">
              <w:rPr>
                <w:rFonts w:ascii="Times New Roman" w:hAnsi="Times New Roman" w:cs="Times New Roman"/>
                <w:color w:val="auto"/>
              </w:rPr>
              <w:t>60</w:t>
            </w:r>
          </w:p>
          <w:p w14:paraId="0BA22ED0" w14:textId="0B9F4259"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$6</w:t>
            </w:r>
            <w:r w:rsidR="000265FE" w:rsidRPr="00000F1D">
              <w:rPr>
                <w:rFonts w:ascii="Times New Roman" w:hAnsi="Times New Roman" w:cs="Times New Roman"/>
                <w:color w:val="auto"/>
              </w:rPr>
              <w:t>4.74</w:t>
            </w:r>
          </w:p>
          <w:p w14:paraId="67EA8DC5"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2C4D9EDA" w14:textId="3477DD34"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$17.</w:t>
            </w:r>
            <w:r w:rsidR="000265FE" w:rsidRPr="00000F1D">
              <w:rPr>
                <w:rFonts w:ascii="Times New Roman" w:hAnsi="Times New Roman" w:cs="Times New Roman"/>
                <w:color w:val="auto"/>
              </w:rPr>
              <w:t>64</w:t>
            </w:r>
          </w:p>
          <w:p w14:paraId="38D3D455" w14:textId="47FB4270"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$4</w:t>
            </w:r>
            <w:r w:rsidR="000265FE" w:rsidRPr="00000F1D">
              <w:rPr>
                <w:rFonts w:ascii="Times New Roman" w:hAnsi="Times New Roman" w:cs="Times New Roman"/>
                <w:color w:val="auto"/>
              </w:rPr>
              <w:t>9.03</w:t>
            </w:r>
          </w:p>
        </w:tc>
        <w:tc>
          <w:tcPr>
            <w:tcW w:w="1530" w:type="dxa"/>
          </w:tcPr>
          <w:p w14:paraId="31859121"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C1D6711"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F07ED57" w14:textId="394E83AF"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$34.</w:t>
            </w:r>
            <w:r w:rsidR="000265FE" w:rsidRPr="00000F1D">
              <w:rPr>
                <w:rFonts w:ascii="Times New Roman" w:hAnsi="Times New Roman" w:cs="Times New Roman"/>
                <w:color w:val="auto"/>
              </w:rPr>
              <w:t>64</w:t>
            </w:r>
          </w:p>
          <w:p w14:paraId="2E28E751" w14:textId="1EB64B41"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$66.</w:t>
            </w:r>
            <w:r w:rsidR="000265FE" w:rsidRPr="00000F1D">
              <w:rPr>
                <w:rFonts w:ascii="Times New Roman" w:hAnsi="Times New Roman" w:cs="Times New Roman"/>
                <w:color w:val="auto"/>
              </w:rPr>
              <w:t>75</w:t>
            </w:r>
          </w:p>
          <w:p w14:paraId="723ED78E" w14:textId="77777777"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FE04736" w14:textId="588BC23E"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$18.</w:t>
            </w:r>
            <w:r w:rsidR="000265FE" w:rsidRPr="00000F1D">
              <w:rPr>
                <w:rFonts w:ascii="Times New Roman" w:hAnsi="Times New Roman" w:cs="Times New Roman"/>
                <w:color w:val="auto"/>
              </w:rPr>
              <w:t>19</w:t>
            </w:r>
          </w:p>
          <w:p w14:paraId="0A18E0BA" w14:textId="061D2440" w:rsidR="00BF1060" w:rsidRPr="00000F1D" w:rsidRDefault="00BF1060" w:rsidP="00E20078">
            <w:pPr>
              <w:pStyle w:val="sources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00F1D">
              <w:rPr>
                <w:rFonts w:ascii="Times New Roman" w:hAnsi="Times New Roman" w:cs="Times New Roman"/>
                <w:color w:val="auto"/>
              </w:rPr>
              <w:t>$50.</w:t>
            </w:r>
            <w:r w:rsidR="000265FE" w:rsidRPr="00000F1D">
              <w:rPr>
                <w:rFonts w:ascii="Times New Roman" w:hAnsi="Times New Roman" w:cs="Times New Roman"/>
                <w:color w:val="auto"/>
              </w:rPr>
              <w:t>55</w:t>
            </w:r>
          </w:p>
        </w:tc>
      </w:tr>
    </w:tbl>
    <w:p w14:paraId="2B179A08" w14:textId="77777777" w:rsidR="0024445B" w:rsidRDefault="0024445B" w:rsidP="00000F1D">
      <w:pPr>
        <w:pStyle w:val="Bodynospaceafterorbeforepara"/>
      </w:pPr>
    </w:p>
    <w:p w14:paraId="6D74284F" w14:textId="3FC813EC" w:rsidR="0093692B" w:rsidRPr="000B5303" w:rsidRDefault="0093692B" w:rsidP="0093692B">
      <w:pPr>
        <w:pStyle w:val="Subhead1"/>
      </w:pPr>
      <w:bookmarkStart w:id="38" w:name="_Toc77836544"/>
      <w:bookmarkStart w:id="39" w:name="_Toc77838786"/>
      <w:bookmarkStart w:id="40" w:name="_Toc77843051"/>
      <w:r w:rsidRPr="000B5303">
        <w:lastRenderedPageBreak/>
        <w:t>Local Control Funding Formula</w:t>
      </w:r>
      <w:bookmarkEnd w:id="37"/>
      <w:bookmarkEnd w:id="38"/>
      <w:bookmarkEnd w:id="39"/>
      <w:bookmarkEnd w:id="40"/>
    </w:p>
    <w:p w14:paraId="61F9348D" w14:textId="18AED131" w:rsidR="00B07C8B" w:rsidRPr="00A16F23" w:rsidRDefault="00B07C8B" w:rsidP="00A16F23">
      <w:pPr>
        <w:pStyle w:val="Body"/>
      </w:pPr>
      <w:r w:rsidRPr="00A16F23">
        <w:t xml:space="preserve">The </w:t>
      </w:r>
      <w:r w:rsidR="007E6AF6" w:rsidRPr="00A16F23">
        <w:t>m</w:t>
      </w:r>
      <w:r w:rsidRPr="00A16F23">
        <w:t xml:space="preserve">ega COLA of 5.07% for the Local Control Funding Formula (LCFF) for 2021-22 is codified in Education Code </w:t>
      </w:r>
      <w:r w:rsidR="00DF20B8" w:rsidRPr="00A16F23">
        <w:t>s</w:t>
      </w:r>
      <w:r w:rsidRPr="00A16F23">
        <w:t>ection 42238.022 with the passage of AB</w:t>
      </w:r>
      <w:r w:rsidR="00DF20B8" w:rsidRPr="00A16F23">
        <w:t xml:space="preserve"> </w:t>
      </w:r>
      <w:r w:rsidRPr="00A16F23">
        <w:t xml:space="preserve">130. </w:t>
      </w:r>
    </w:p>
    <w:p w14:paraId="3061DFE3" w14:textId="059C088A" w:rsidR="00B07C8B" w:rsidRPr="00A16F23" w:rsidRDefault="00B07C8B" w:rsidP="00000F1D">
      <w:pPr>
        <w:pStyle w:val="Body"/>
      </w:pPr>
      <w:r w:rsidRPr="00A16F23">
        <w:t>As anticipated, changes have been enacted related to the provision of independent study as detailed elsewhere in this Common Message. Of note for attendance purposes, short term independent study may now be claimed for three or more</w:t>
      </w:r>
      <w:r w:rsidR="00866EB1" w:rsidRPr="00A16F23">
        <w:t>, rather than five,</w:t>
      </w:r>
      <w:r w:rsidRPr="00A16F23">
        <w:t xml:space="preserve"> consecutive days. Also, beginning in 2022-23, LEAs will be able to claim younger students for apportionment attendance purposes as universal transitional kindergarten (UTK) is phased in. </w:t>
      </w:r>
      <w:r w:rsidR="00DF20B8" w:rsidRPr="00A16F23">
        <w:t>D</w:t>
      </w:r>
      <w:r w:rsidRPr="00A16F23">
        <w:t xml:space="preserve">istricts </w:t>
      </w:r>
      <w:r w:rsidR="00DF20B8" w:rsidRPr="00A16F23">
        <w:t xml:space="preserve">should </w:t>
      </w:r>
      <w:r w:rsidRPr="00A16F23">
        <w:t>begin to determine how to recalculate attendance projections to include the UTK phase-in.</w:t>
      </w:r>
    </w:p>
    <w:p w14:paraId="0E520D3D" w14:textId="4E005167" w:rsidR="00B07C8B" w:rsidRPr="00A16F23" w:rsidRDefault="00B07C8B" w:rsidP="00000F1D">
      <w:pPr>
        <w:pStyle w:val="Body"/>
      </w:pPr>
      <w:r w:rsidRPr="00A16F23">
        <w:t>The enacted budget includes the Governor’s May Revision proposal to increase the concentration grant component of the LCFF from 50% to 65% of the adjusted base LCFF grant</w:t>
      </w:r>
      <w:r w:rsidR="00866EB1" w:rsidRPr="00A16F23">
        <w:t xml:space="preserve">, per Education Code </w:t>
      </w:r>
      <w:r w:rsidR="00DF20B8" w:rsidRPr="00A16F23">
        <w:t>s</w:t>
      </w:r>
      <w:r w:rsidR="00866EB1" w:rsidRPr="00A16F23">
        <w:t>ection 42238.02</w:t>
      </w:r>
      <w:r w:rsidRPr="00A16F23">
        <w:t>. The additional funds must be expended to increase the number of staff providing direct services</w:t>
      </w:r>
      <w:r w:rsidR="00DF20B8" w:rsidRPr="00A16F23">
        <w:t>,</w:t>
      </w:r>
      <w:r w:rsidRPr="00A16F23">
        <w:t xml:space="preserve"> which can include custodial staff. </w:t>
      </w:r>
    </w:p>
    <w:p w14:paraId="33E41BD2" w14:textId="0E6588FE" w:rsidR="00B07C8B" w:rsidRPr="00A16F23" w:rsidRDefault="00B07C8B" w:rsidP="00000F1D">
      <w:pPr>
        <w:pStyle w:val="Body"/>
      </w:pPr>
      <w:r w:rsidRPr="00A16F23">
        <w:t xml:space="preserve">Planning factors indicate that COLA will </w:t>
      </w:r>
      <w:r w:rsidR="000C0223" w:rsidRPr="00A16F23">
        <w:t>be 3.0</w:t>
      </w:r>
      <w:r w:rsidRPr="00A16F23">
        <w:t xml:space="preserve">% </w:t>
      </w:r>
      <w:r w:rsidR="000C0223" w:rsidRPr="00A16F23">
        <w:t xml:space="preserve">or less </w:t>
      </w:r>
      <w:r w:rsidRPr="00A16F23">
        <w:t>in the out</w:t>
      </w:r>
      <w:r w:rsidR="00DF20B8" w:rsidRPr="00A16F23">
        <w:t xml:space="preserve"> </w:t>
      </w:r>
      <w:r w:rsidRPr="00A16F23">
        <w:t xml:space="preserve">years. </w:t>
      </w:r>
      <w:r w:rsidR="00DF20B8" w:rsidRPr="00A16F23">
        <w:t>A</w:t>
      </w:r>
      <w:r w:rsidRPr="00A16F23">
        <w:t xml:space="preserve">ll LEAs </w:t>
      </w:r>
      <w:r w:rsidR="00DF20B8" w:rsidRPr="00A16F23">
        <w:t xml:space="preserve">are encouraged to </w:t>
      </w:r>
      <w:r w:rsidRPr="00A16F23">
        <w:t>develop multiple scenarios using the LCFF COLA planning factors as best case. LEAs that are prepared for both best</w:t>
      </w:r>
      <w:r w:rsidR="00DF20B8" w:rsidRPr="00A16F23">
        <w:t>-</w:t>
      </w:r>
      <w:r w:rsidRPr="00A16F23">
        <w:t xml:space="preserve"> and worst-case budgets in the future are better able to weather economic uncertainty. </w:t>
      </w:r>
    </w:p>
    <w:p w14:paraId="67C0BAFB" w14:textId="2201DFF7" w:rsidR="00E039E2" w:rsidRDefault="00E039E2" w:rsidP="00E039E2">
      <w:pPr>
        <w:pStyle w:val="Subhead1"/>
      </w:pPr>
      <w:bookmarkStart w:id="41" w:name="_Toc77836545"/>
      <w:bookmarkStart w:id="42" w:name="_Toc77838787"/>
      <w:bookmarkStart w:id="43" w:name="_Toc77843052"/>
      <w:r>
        <w:t>Expanded Learning Opportunities Program</w:t>
      </w:r>
      <w:bookmarkEnd w:id="41"/>
      <w:bookmarkEnd w:id="42"/>
      <w:bookmarkEnd w:id="43"/>
    </w:p>
    <w:p w14:paraId="1D305384" w14:textId="6F3A39B0" w:rsidR="00E039E2" w:rsidRPr="008F1E58" w:rsidRDefault="00E039E2" w:rsidP="00000F1D">
      <w:pPr>
        <w:pStyle w:val="Body"/>
      </w:pPr>
      <w:r w:rsidRPr="00740E1B">
        <w:t>The state budget provides $1.8 billion to provide access to comprehensive expanded learning for all unduplicated students in elementary schools.</w:t>
      </w:r>
      <w:r w:rsidR="00174D21" w:rsidRPr="008F1E58">
        <w:t xml:space="preserve"> </w:t>
      </w:r>
      <w:r w:rsidRPr="008F1E58">
        <w:t xml:space="preserve">The intent is to provide before and after school opportunities, in addition to </w:t>
      </w:r>
      <w:r w:rsidR="00DF20B8">
        <w:t>30</w:t>
      </w:r>
      <w:r w:rsidR="00DF20B8" w:rsidRPr="00DF20B8">
        <w:t xml:space="preserve"> </w:t>
      </w:r>
      <w:r w:rsidRPr="00FC6A13">
        <w:t xml:space="preserve">expanded learning days during </w:t>
      </w:r>
      <w:r w:rsidR="002E4A5D">
        <w:t>intersession periods</w:t>
      </w:r>
      <w:r w:rsidRPr="00FC6A13">
        <w:t>.</w:t>
      </w:r>
      <w:r w:rsidR="00174D21" w:rsidRPr="008F1E58">
        <w:t xml:space="preserve"> </w:t>
      </w:r>
    </w:p>
    <w:p w14:paraId="3CF9BDBA" w14:textId="2993C703" w:rsidR="00E039E2" w:rsidRPr="00FC6A13" w:rsidRDefault="00BF19C6" w:rsidP="00000F1D">
      <w:pPr>
        <w:pStyle w:val="Body"/>
      </w:pPr>
      <w:r>
        <w:t>Commencing i</w:t>
      </w:r>
      <w:r w:rsidR="00E039E2" w:rsidRPr="008F1E58">
        <w:t>n 2021-22</w:t>
      </w:r>
      <w:r>
        <w:t>, as a condition of receipt of apportionment,</w:t>
      </w:r>
      <w:r w:rsidR="00E039E2" w:rsidRPr="008F1E58">
        <w:t xml:space="preserve"> LEAs must </w:t>
      </w:r>
      <w:r w:rsidR="00E039E2" w:rsidRPr="00000F1D">
        <w:t>offer</w:t>
      </w:r>
      <w:r w:rsidR="00E039E2" w:rsidRPr="00740E1B">
        <w:t xml:space="preserve"> expanded learning to at least all unduplicated students </w:t>
      </w:r>
      <w:r>
        <w:t xml:space="preserve">enrolled in </w:t>
      </w:r>
      <w:proofErr w:type="gramStart"/>
      <w:r>
        <w:t>classroom based</w:t>
      </w:r>
      <w:proofErr w:type="gramEnd"/>
      <w:r>
        <w:t xml:space="preserve"> instruction in grades K-6 </w:t>
      </w:r>
      <w:r w:rsidR="00E039E2" w:rsidRPr="00740E1B">
        <w:t xml:space="preserve">and </w:t>
      </w:r>
      <w:r w:rsidR="00E039E2" w:rsidRPr="00000F1D">
        <w:t>provide</w:t>
      </w:r>
      <w:r w:rsidR="00E039E2" w:rsidRPr="00740E1B">
        <w:t xml:space="preserve"> services to at least 50% of the unduplicated students in grades K-6.</w:t>
      </w:r>
      <w:r>
        <w:t xml:space="preserve">  </w:t>
      </w:r>
      <w:r w:rsidR="00D10FB8" w:rsidRPr="00D10FB8">
        <w:t xml:space="preserve">Beginning in 2022-23, LEAs greater than 80% UPP must offer expanded learning opportunities to all </w:t>
      </w:r>
      <w:proofErr w:type="gramStart"/>
      <w:r w:rsidR="00D10FB8" w:rsidRPr="00D10FB8">
        <w:t xml:space="preserve">classroom </w:t>
      </w:r>
      <w:r>
        <w:t>based</w:t>
      </w:r>
      <w:proofErr w:type="gramEnd"/>
      <w:r>
        <w:t xml:space="preserve"> K-6 students and access must be provided to any classroom based pupil whose parent/guardian requests it.</w:t>
      </w:r>
    </w:p>
    <w:p w14:paraId="470D349F" w14:textId="7524E25A" w:rsidR="00E039E2" w:rsidRPr="00FC6A13" w:rsidRDefault="00E039E2" w:rsidP="00000F1D">
      <w:pPr>
        <w:pStyle w:val="Body"/>
      </w:pPr>
      <w:r w:rsidRPr="008F1E58">
        <w:t>For LEAs with a</w:t>
      </w:r>
      <w:r w:rsidR="00DF20B8">
        <w:t>n</w:t>
      </w:r>
      <w:r w:rsidRPr="00DF20B8">
        <w:t xml:space="preserve"> unduplicated pupil percentage (UPP) greater than 80%, funding is estimated at $1,170 per classroom</w:t>
      </w:r>
      <w:r w:rsidR="002E4A5D">
        <w:t>-</w:t>
      </w:r>
      <w:r w:rsidRPr="00DF20B8">
        <w:t>based K-6 ADA multiplied by the LEA’s UPP, funded for at least three years.</w:t>
      </w:r>
      <w:r w:rsidR="00174D21" w:rsidRPr="008F1E58">
        <w:t xml:space="preserve"> </w:t>
      </w:r>
      <w:r w:rsidRPr="008F1E58">
        <w:t>The remaining funds will be distributed on a per</w:t>
      </w:r>
      <w:r w:rsidR="00DF20B8">
        <w:t>-</w:t>
      </w:r>
      <w:r w:rsidRPr="008F1E58">
        <w:t>unit basis using classroom-based K-6 ADA multiplied by the LEA’s UPP</w:t>
      </w:r>
      <w:r w:rsidR="002E4A5D">
        <w:t>.</w:t>
      </w:r>
      <w:r w:rsidRPr="00DF20B8">
        <w:t xml:space="preserve"> </w:t>
      </w:r>
      <w:r w:rsidR="002E4A5D">
        <w:t xml:space="preserve">Both formulas </w:t>
      </w:r>
      <w:r w:rsidR="00000F1D">
        <w:t>provide</w:t>
      </w:r>
      <w:r w:rsidRPr="00DF20B8">
        <w:t xml:space="preserve"> a minimum of $50,000 per LEA</w:t>
      </w:r>
      <w:r w:rsidRPr="00FC6A13">
        <w:t>.</w:t>
      </w:r>
    </w:p>
    <w:p w14:paraId="03482A50" w14:textId="77777777" w:rsidR="007552C3" w:rsidRPr="004C00EB" w:rsidRDefault="007552C3" w:rsidP="007552C3">
      <w:pPr>
        <w:pStyle w:val="Subhead1"/>
      </w:pPr>
      <w:bookmarkStart w:id="44" w:name="_Toc62732833"/>
      <w:bookmarkStart w:id="45" w:name="_Toc64012828"/>
      <w:bookmarkStart w:id="46" w:name="_Toc72932895"/>
      <w:bookmarkStart w:id="47" w:name="_Toc77836546"/>
      <w:bookmarkStart w:id="48" w:name="_Toc77838788"/>
      <w:bookmarkStart w:id="49" w:name="_Toc77843053"/>
      <w:bookmarkStart w:id="50" w:name="_Toc52962494"/>
      <w:bookmarkStart w:id="51" w:name="_Toc45533724"/>
      <w:bookmarkStart w:id="52" w:name="_Toc64012832"/>
      <w:bookmarkStart w:id="53" w:name="_Toc45533729"/>
      <w:r>
        <w:t>Local Control Accountability Plan</w:t>
      </w:r>
      <w:bookmarkEnd w:id="44"/>
      <w:bookmarkEnd w:id="45"/>
      <w:bookmarkEnd w:id="46"/>
      <w:bookmarkEnd w:id="47"/>
      <w:bookmarkEnd w:id="48"/>
      <w:bookmarkEnd w:id="49"/>
      <w:r>
        <w:t xml:space="preserve"> </w:t>
      </w:r>
      <w:bookmarkEnd w:id="50"/>
    </w:p>
    <w:p w14:paraId="4D3FDA50" w14:textId="131DDAC7" w:rsidR="00B07C8B" w:rsidRDefault="00B07C8B" w:rsidP="00B07C8B">
      <w:pPr>
        <w:pStyle w:val="Body"/>
      </w:pPr>
      <w:r>
        <w:t xml:space="preserve">AB 130, the 2021-22 education omnibus budget trailer bill, creates two significant new LCAP requirements. These new requirements will require action by the State Board of Education (SBE), which we anticipate </w:t>
      </w:r>
      <w:r w:rsidR="00866EB1">
        <w:t xml:space="preserve">will be </w:t>
      </w:r>
      <w:r>
        <w:t>implemented</w:t>
      </w:r>
      <w:r w:rsidR="00866EB1">
        <w:t xml:space="preserve"> later this year</w:t>
      </w:r>
      <w:r>
        <w:t>.</w:t>
      </w:r>
    </w:p>
    <w:p w14:paraId="25A71664" w14:textId="77777777" w:rsidR="00B07C8B" w:rsidRDefault="00B07C8B" w:rsidP="00B07C8B">
      <w:pPr>
        <w:pStyle w:val="Body"/>
        <w:rPr>
          <w:b/>
          <w:bCs/>
        </w:rPr>
      </w:pPr>
      <w:r>
        <w:rPr>
          <w:b/>
          <w:bCs/>
        </w:rPr>
        <w:lastRenderedPageBreak/>
        <w:t>Carryover Requirements</w:t>
      </w:r>
    </w:p>
    <w:p w14:paraId="1612C050" w14:textId="2A4AB8D7" w:rsidR="00B07C8B" w:rsidRDefault="00B07C8B" w:rsidP="00B07C8B">
      <w:pPr>
        <w:pStyle w:val="Body"/>
      </w:pPr>
      <w:r>
        <w:t>Changes in Ed</w:t>
      </w:r>
      <w:r w:rsidR="00866EB1">
        <w:t xml:space="preserve">ucation </w:t>
      </w:r>
      <w:r>
        <w:t xml:space="preserve">Code </w:t>
      </w:r>
      <w:r w:rsidR="00656B05">
        <w:t>s</w:t>
      </w:r>
      <w:r>
        <w:t>ections 42238.07 and 52064 create a new carryover requirement related to the requirement to increase or improve services for unduplicated pupils.</w:t>
      </w:r>
    </w:p>
    <w:p w14:paraId="68688990" w14:textId="77777777" w:rsidR="00B07C8B" w:rsidRDefault="00B07C8B" w:rsidP="00B07C8B">
      <w:pPr>
        <w:pStyle w:val="Body"/>
      </w:pPr>
      <w:r>
        <w:t xml:space="preserve">Starting with the 2022-23 LCAP adoption, LEAs must include in their LCAPs a calculation of any shortfall – quantitatively or qualitatively – between </w:t>
      </w:r>
      <w:r w:rsidRPr="00866EB1">
        <w:rPr>
          <w:u w:val="single"/>
        </w:rPr>
        <w:t>planned</w:t>
      </w:r>
      <w:r>
        <w:t xml:space="preserve"> actions and services contributing to increased and improved services for unduplicated pupils and </w:t>
      </w:r>
      <w:r w:rsidRPr="00866EB1">
        <w:rPr>
          <w:u w:val="single"/>
        </w:rPr>
        <w:t>actual</w:t>
      </w:r>
      <w:r>
        <w:t xml:space="preserve"> actions and services for the year prior to the LCAP year. If, based on estimated actuals, the shortfall is such that the LEA did not meet its required minimum percentage to increase or improve services, then the difference will become an added increased and improved services requirement in the LCAP year.</w:t>
      </w:r>
    </w:p>
    <w:p w14:paraId="0D72449D" w14:textId="0FA1DFE8" w:rsidR="00B07C8B" w:rsidRDefault="00B07C8B" w:rsidP="00B07C8B">
      <w:pPr>
        <w:pStyle w:val="Body"/>
      </w:pPr>
      <w:r>
        <w:t>The LCAP template will be revised later this year by the SBE to accommodate these new requirements, and Ed</w:t>
      </w:r>
      <w:r w:rsidR="00866EB1">
        <w:t>ucation</w:t>
      </w:r>
      <w:r>
        <w:t xml:space="preserve"> Code </w:t>
      </w:r>
      <w:r w:rsidR="00656B05">
        <w:t>s</w:t>
      </w:r>
      <w:r w:rsidR="00866EB1">
        <w:t xml:space="preserve">ection </w:t>
      </w:r>
      <w:r>
        <w:t>52071 has been amended to add new requirements for county office review and approval of LCAPs, including explicit requirements to enforce the carryover provisions.</w:t>
      </w:r>
    </w:p>
    <w:p w14:paraId="73BEF2B4" w14:textId="1054C2FF" w:rsidR="00B07C8B" w:rsidRDefault="00B07C8B" w:rsidP="00B07C8B">
      <w:pPr>
        <w:pStyle w:val="Body"/>
        <w:rPr>
          <w:b/>
          <w:bCs/>
        </w:rPr>
      </w:pPr>
      <w:r>
        <w:rPr>
          <w:b/>
          <w:bCs/>
        </w:rPr>
        <w:t>LCAP Supplement</w:t>
      </w:r>
    </w:p>
    <w:p w14:paraId="7F71E204" w14:textId="50178BEA" w:rsidR="00B07C8B" w:rsidRDefault="00B07C8B" w:rsidP="00B07C8B">
      <w:pPr>
        <w:pStyle w:val="Body"/>
      </w:pPr>
      <w:r>
        <w:t>Uncodified section 124 of AB 130 requires the SBE to adopt a “one-time supplement template to the annual update to the 2021</w:t>
      </w:r>
      <w:r w:rsidR="00656B05">
        <w:t>-</w:t>
      </w:r>
      <w:r>
        <w:t xml:space="preserve">22 local control and accountability plan.” </w:t>
      </w:r>
    </w:p>
    <w:p w14:paraId="4EF8B2C1" w14:textId="77777777" w:rsidR="00B07C8B" w:rsidRDefault="00B07C8B" w:rsidP="00B07C8B">
      <w:pPr>
        <w:pStyle w:val="Body"/>
      </w:pPr>
      <w:r>
        <w:t>This supplement shall be adopted by the SBE by November 30, 2021. LEAs will be required to present the supplement at a regularly scheduled board meeting on or before February 28, 2022, as part of an “update on the annual update” for the 2021-22 LCAP. The supplement must also be included as part of the 2022-23 adopted LCAP submitted for approval.</w:t>
      </w:r>
    </w:p>
    <w:p w14:paraId="35EE8755" w14:textId="77777777" w:rsidR="00B07C8B" w:rsidRDefault="00B07C8B" w:rsidP="00B07C8B">
      <w:pPr>
        <w:pStyle w:val="Body"/>
      </w:pPr>
      <w:r>
        <w:t>The supplement template will require all of the following information:</w:t>
      </w:r>
    </w:p>
    <w:p w14:paraId="1ACA8CF7" w14:textId="325F7889" w:rsidR="00B07C8B" w:rsidRPr="00656B05" w:rsidRDefault="00B07C8B" w:rsidP="00000F1D">
      <w:pPr>
        <w:pStyle w:val="Bullet"/>
      </w:pPr>
      <w:r w:rsidRPr="00740E1B">
        <w:t xml:space="preserve">A description of stakeholder engagement related to use of funds in the </w:t>
      </w:r>
      <w:r w:rsidR="000916AC" w:rsidRPr="008F1E58">
        <w:t>state budget</w:t>
      </w:r>
      <w:r w:rsidRPr="008F1E58">
        <w:t xml:space="preserve"> that were not included in the LEA’s adopted LCAP (e.g.</w:t>
      </w:r>
      <w:r w:rsidR="00656B05">
        <w:t>,</w:t>
      </w:r>
      <w:r w:rsidRPr="00656B05">
        <w:t xml:space="preserve"> 5.07% LCFF COLA, 65% concentration grant).</w:t>
      </w:r>
    </w:p>
    <w:p w14:paraId="678EA556" w14:textId="15814661" w:rsidR="00B07C8B" w:rsidRPr="008F1E58" w:rsidRDefault="00B07C8B" w:rsidP="00000F1D">
      <w:pPr>
        <w:pStyle w:val="Bullet"/>
      </w:pPr>
      <w:r w:rsidRPr="00FC6A13">
        <w:t xml:space="preserve">A description of how the added concentration grant funds (increase </w:t>
      </w:r>
      <w:r w:rsidR="00866EB1" w:rsidRPr="00FC6A13">
        <w:t xml:space="preserve">from 50 </w:t>
      </w:r>
      <w:r w:rsidRPr="008F1E58">
        <w:t>to 65%) were used to increase staffing pursuant to the requirements.</w:t>
      </w:r>
    </w:p>
    <w:p w14:paraId="6669CAA0" w14:textId="77777777" w:rsidR="00B07C8B" w:rsidRPr="008F1E58" w:rsidRDefault="00B07C8B" w:rsidP="00000F1D">
      <w:pPr>
        <w:pStyle w:val="Bullet"/>
      </w:pPr>
      <w:r w:rsidRPr="008F1E58">
        <w:t>A description of stakeholder engagement related to the use of one-time federal funds.</w:t>
      </w:r>
    </w:p>
    <w:p w14:paraId="038F5C08" w14:textId="139FE229" w:rsidR="00B07C8B" w:rsidRPr="00740E1B" w:rsidRDefault="00B07C8B" w:rsidP="00000F1D">
      <w:pPr>
        <w:pStyle w:val="Bullet"/>
      </w:pPr>
      <w:r w:rsidRPr="008F1E58">
        <w:t xml:space="preserve">“An update on the implementation of the federal American Rescue Plan Act of 2021 (Public Law 117-2) and federal Elementary and Secondary School Emergency Relief (ESSER) expenditure plan.” </w:t>
      </w:r>
      <w:r w:rsidRPr="00000F1D">
        <w:t xml:space="preserve">Note that the ESSER </w:t>
      </w:r>
      <w:r w:rsidR="00656B05">
        <w:t>e</w:t>
      </w:r>
      <w:r w:rsidRPr="00000F1D">
        <w:t xml:space="preserve">xpenditure plans must be adopted by </w:t>
      </w:r>
      <w:r w:rsidR="0080185F" w:rsidRPr="00000F1D">
        <w:t>October 29, 2021</w:t>
      </w:r>
      <w:r w:rsidRPr="00000F1D">
        <w:t>.</w:t>
      </w:r>
    </w:p>
    <w:p w14:paraId="2DCA54B5" w14:textId="77777777" w:rsidR="00B07C8B" w:rsidRPr="003C0D17" w:rsidRDefault="00B07C8B" w:rsidP="00000F1D">
      <w:pPr>
        <w:pStyle w:val="Bullet"/>
      </w:pPr>
      <w:r w:rsidRPr="00353C80">
        <w:t>A description of how the LEA’s 2021-22 funding is being used in a manner consiste</w:t>
      </w:r>
      <w:r w:rsidRPr="003C0D17">
        <w:t>nt with “applicable plans,” including its LCAP.</w:t>
      </w:r>
    </w:p>
    <w:p w14:paraId="46206744" w14:textId="4D043C95" w:rsidR="00B07C8B" w:rsidRDefault="00B07C8B" w:rsidP="00000F1D">
      <w:pPr>
        <w:pStyle w:val="Body"/>
      </w:pPr>
      <w:r>
        <w:t>In addition</w:t>
      </w:r>
      <w:r w:rsidR="00656B05">
        <w:t xml:space="preserve"> to</w:t>
      </w:r>
      <w:r>
        <w:t xml:space="preserve"> the supplement </w:t>
      </w:r>
      <w:r w:rsidRPr="00740E1B">
        <w:t>template</w:t>
      </w:r>
      <w:r>
        <w:t xml:space="preserve"> referenced above, an LEA’s update on the annual update presentation to its </w:t>
      </w:r>
      <w:r w:rsidR="00656B05">
        <w:t>b</w:t>
      </w:r>
      <w:r>
        <w:t>oard must also include:</w:t>
      </w:r>
    </w:p>
    <w:p w14:paraId="6426686E" w14:textId="3694EC2F" w:rsidR="00B07C8B" w:rsidRPr="00353C80" w:rsidRDefault="00B07C8B" w:rsidP="00000F1D">
      <w:pPr>
        <w:pStyle w:val="Bullet"/>
      </w:pPr>
      <w:r w:rsidRPr="00740E1B">
        <w:t>All available midyear outcome data related to metrics identified in the 2021-22 LCAP.</w:t>
      </w:r>
    </w:p>
    <w:p w14:paraId="30811DCD" w14:textId="0A358891" w:rsidR="00B07C8B" w:rsidRPr="008F1E58" w:rsidRDefault="00B07C8B" w:rsidP="00000F1D">
      <w:pPr>
        <w:pStyle w:val="Bullet"/>
      </w:pPr>
      <w:r w:rsidRPr="008F1E58">
        <w:lastRenderedPageBreak/>
        <w:t>Midyear expenditure and implementation data on all actions identified in the 2021-22 LCAP.</w:t>
      </w:r>
    </w:p>
    <w:p w14:paraId="64611325" w14:textId="42C4CCB6" w:rsidR="00B07C8B" w:rsidRDefault="00B07C8B" w:rsidP="00B07C8B">
      <w:pPr>
        <w:pStyle w:val="Body"/>
      </w:pPr>
      <w:r>
        <w:t xml:space="preserve">LEAs will want to track LCAP and other required plan implementation closely throughout the year and communicate proactively about the new requirements. Carryover related </w:t>
      </w:r>
      <w:r w:rsidR="0094478D">
        <w:t xml:space="preserve">to </w:t>
      </w:r>
      <w:r>
        <w:t xml:space="preserve">the increased and improved services may be difficult to avoid in some circumstances due to the confluence of one-time funding and late notice about added LCFF funding. If significant carryover is anticipated, LEAs may want to begin engaging stakeholders sooner rather than later around why this is the case, and what it means </w:t>
      </w:r>
      <w:r w:rsidR="00A16F23">
        <w:t>for the future</w:t>
      </w:r>
      <w:r>
        <w:t xml:space="preserve">. </w:t>
      </w:r>
    </w:p>
    <w:p w14:paraId="16BEEAF6" w14:textId="5D52EA3E" w:rsidR="004B0823" w:rsidRPr="00342078" w:rsidRDefault="004B0823" w:rsidP="004C4038">
      <w:pPr>
        <w:pStyle w:val="Subhead1"/>
      </w:pPr>
      <w:bookmarkStart w:id="54" w:name="_Toc62732835"/>
      <w:bookmarkStart w:id="55" w:name="_Toc64012830"/>
      <w:bookmarkStart w:id="56" w:name="_Toc72932897"/>
      <w:bookmarkStart w:id="57" w:name="_Toc77836547"/>
      <w:bookmarkStart w:id="58" w:name="_Toc77838789"/>
      <w:bookmarkStart w:id="59" w:name="_Toc77843054"/>
      <w:r w:rsidRPr="00342078">
        <w:t>Special Education</w:t>
      </w:r>
      <w:bookmarkEnd w:id="54"/>
      <w:bookmarkEnd w:id="55"/>
      <w:bookmarkEnd w:id="56"/>
      <w:bookmarkEnd w:id="57"/>
      <w:bookmarkEnd w:id="58"/>
      <w:bookmarkEnd w:id="59"/>
      <w:r w:rsidRPr="00342078">
        <w:t xml:space="preserve"> </w:t>
      </w:r>
    </w:p>
    <w:p w14:paraId="07A51093" w14:textId="77777777" w:rsidR="00C0610F" w:rsidRDefault="00C0610F" w:rsidP="00C0610F">
      <w:pPr>
        <w:pStyle w:val="Body"/>
      </w:pPr>
      <w:r>
        <w:t xml:space="preserve">The 2021-22 budget significantly builds upon special education funding augmentations provided over the past two years. </w:t>
      </w:r>
    </w:p>
    <w:p w14:paraId="62798CE6" w14:textId="12EE3823" w:rsidR="00C0610F" w:rsidRDefault="00C0610F" w:rsidP="00C0610F">
      <w:pPr>
        <w:pStyle w:val="Body"/>
      </w:pPr>
      <w:r>
        <w:t>The base Special Education Local Plan Area (SELPA) funding formula is first increased by the compounded COLA of 4.05%, and then augmented by $397 million, resulting in a 2021-22 base rate of $715 per ADA (greater of current year, prior year, or second prior year ADA).</w:t>
      </w:r>
      <w:r w:rsidR="00174D21">
        <w:t xml:space="preserve"> </w:t>
      </w:r>
      <w:r>
        <w:t>SELPAs will receive $715 per ADA, or their 2020-21 base rate adjusted by the 4.05% compounded COLA, whichever is greater.</w:t>
      </w:r>
    </w:p>
    <w:p w14:paraId="6C1F47EA" w14:textId="77777777" w:rsidR="00C0610F" w:rsidRDefault="00C0610F" w:rsidP="00C0610F">
      <w:pPr>
        <w:pStyle w:val="Body"/>
      </w:pPr>
      <w:r>
        <w:t xml:space="preserve">$260 million in ongoing Prop. 98 funding is provided for the Special Education Early Intervention Grant. This funding is allocated to supplement existing resources, increase the availability of evidence-based services and to support school readiness for infants, toddlers, and preschoolers, with a focus on inclusive settings. These funds are restricted and will be allocated to the LEA of residence based on the number of first grade students with exceptional needs per October 2020 CALPADS enrollment. </w:t>
      </w:r>
    </w:p>
    <w:p w14:paraId="0716DF96" w14:textId="21E968D1" w:rsidR="00C0610F" w:rsidRDefault="00C0610F" w:rsidP="00C0610F">
      <w:pPr>
        <w:pStyle w:val="Body"/>
      </w:pPr>
      <w:r>
        <w:t>The Out-of-Home</w:t>
      </w:r>
      <w:r w:rsidR="00656B05">
        <w:t xml:space="preserve"> </w:t>
      </w:r>
      <w:r>
        <w:t>Care formula is updated to provide the following SELPA funding rates</w:t>
      </w:r>
      <w:r w:rsidR="00656B05">
        <w:t>,</w:t>
      </w:r>
      <w:r>
        <w:t xml:space="preserve"> which will be adjusted by COLA in subsequent years:</w:t>
      </w:r>
    </w:p>
    <w:p w14:paraId="138C2F79" w14:textId="1266D50C" w:rsidR="00C0610F" w:rsidRPr="00353C80" w:rsidRDefault="00C0610F" w:rsidP="00000F1D">
      <w:pPr>
        <w:pStyle w:val="Bullet"/>
      </w:pPr>
      <w:r w:rsidRPr="00740E1B">
        <w:t>$1,509 per CALPADS foster youth enrollment (ages 3-21), calculated at the LEA level</w:t>
      </w:r>
    </w:p>
    <w:p w14:paraId="0405EE5B" w14:textId="61180E97" w:rsidR="00C0610F" w:rsidRPr="008F1E58" w:rsidRDefault="00C0610F" w:rsidP="00000F1D">
      <w:pPr>
        <w:pStyle w:val="Bullet"/>
      </w:pPr>
      <w:r w:rsidRPr="00656B05">
        <w:t>$14,603 per short</w:t>
      </w:r>
      <w:r w:rsidR="00656B05">
        <w:t>-</w:t>
      </w:r>
      <w:r w:rsidRPr="008F1E58">
        <w:t>term residential therapeutic program placement (average daily population)</w:t>
      </w:r>
    </w:p>
    <w:p w14:paraId="7295D1C7" w14:textId="72F4AB4B" w:rsidR="00C0610F" w:rsidRPr="008F1E58" w:rsidRDefault="00C0610F" w:rsidP="00000F1D">
      <w:pPr>
        <w:pStyle w:val="Bullet"/>
      </w:pPr>
      <w:r w:rsidRPr="008F1E58">
        <w:t>$3,358 per Department of Social Services (DSS) community care facility residential placement (April 1 count)</w:t>
      </w:r>
    </w:p>
    <w:p w14:paraId="789DAC63" w14:textId="2F5C406D" w:rsidR="00C0610F" w:rsidRPr="008F1E58" w:rsidRDefault="00C0610F" w:rsidP="00000F1D">
      <w:pPr>
        <w:pStyle w:val="Bullet"/>
      </w:pPr>
      <w:r w:rsidRPr="008F1E58">
        <w:t>$12,668 per DSS intermediate care facility residential placement (April 1 count)</w:t>
      </w:r>
    </w:p>
    <w:p w14:paraId="53EB3DC9" w14:textId="77777777" w:rsidR="00C0610F" w:rsidRPr="008F1E58" w:rsidRDefault="00C0610F" w:rsidP="00000F1D">
      <w:pPr>
        <w:pStyle w:val="Bullet"/>
      </w:pPr>
      <w:r w:rsidRPr="008F1E58">
        <w:t>$26,874 per DSS skilled nursing facility residential placement (April 1 count)</w:t>
      </w:r>
    </w:p>
    <w:p w14:paraId="02AE308C" w14:textId="012069E5" w:rsidR="00C0610F" w:rsidRPr="008F1E58" w:rsidRDefault="00C0610F" w:rsidP="00000F1D">
      <w:pPr>
        <w:pStyle w:val="Bullet"/>
      </w:pPr>
      <w:r w:rsidRPr="008F1E58">
        <w:t xml:space="preserve">Charter schools deemed LEAs for </w:t>
      </w:r>
      <w:r w:rsidR="00AD78A8" w:rsidRPr="008F1E58">
        <w:t xml:space="preserve">special education </w:t>
      </w:r>
      <w:r w:rsidRPr="008F1E58">
        <w:t>purposes shall receive foster youth enrollment funding only.</w:t>
      </w:r>
    </w:p>
    <w:p w14:paraId="6F892D3E" w14:textId="1EC71FE8" w:rsidR="00C0610F" w:rsidRDefault="00C0610F" w:rsidP="00C0610F">
      <w:pPr>
        <w:pStyle w:val="Body"/>
      </w:pPr>
      <w:r>
        <w:t xml:space="preserve">The budget also includes several one-time special education allocations including federal American Rescue Plan Act funds of $277.7 million to supplement existing IDEA funds, which will be distributed via the IDEA permanent formula; $450 million for learning recovery supports for students impacted by the pandemic; and $100 million for alternative dispute resolution and </w:t>
      </w:r>
      <w:r>
        <w:lastRenderedPageBreak/>
        <w:t>prevention.</w:t>
      </w:r>
      <w:r w:rsidR="00174D21">
        <w:t xml:space="preserve"> </w:t>
      </w:r>
      <w:r>
        <w:t>Learning recovery support and dispute resolution funds will be allocated based on total SELPA enrollment (ages 3-22) and must be encumbered by June 30, 2023.</w:t>
      </w:r>
    </w:p>
    <w:p w14:paraId="4BED4E33" w14:textId="77777777" w:rsidR="00DE54E1" w:rsidRDefault="00DE54E1">
      <w:pPr>
        <w:rPr>
          <w:rFonts w:ascii="Gill Sans MT" w:eastAsia="Times New Roman" w:hAnsi="Gill Sans MT" w:cs="Times New Roman"/>
          <w:b/>
          <w:sz w:val="36"/>
          <w:szCs w:val="24"/>
        </w:rPr>
      </w:pPr>
      <w:bookmarkStart w:id="60" w:name="_Toc72932898"/>
      <w:bookmarkStart w:id="61" w:name="_Toc77836548"/>
      <w:r>
        <w:br w:type="page"/>
      </w:r>
    </w:p>
    <w:p w14:paraId="3F65750E" w14:textId="146398E5" w:rsidR="00183491" w:rsidRDefault="00183491" w:rsidP="00183491">
      <w:pPr>
        <w:pStyle w:val="Subhead1"/>
        <w:rPr>
          <w:rFonts w:eastAsiaTheme="minorHAnsi"/>
        </w:rPr>
      </w:pPr>
      <w:bookmarkStart w:id="62" w:name="_Toc77838790"/>
      <w:bookmarkStart w:id="63" w:name="_Toc77843055"/>
      <w:r>
        <w:lastRenderedPageBreak/>
        <w:t>Cash Flow / Deferrals</w:t>
      </w:r>
      <w:bookmarkEnd w:id="51"/>
      <w:bookmarkEnd w:id="52"/>
      <w:bookmarkEnd w:id="60"/>
      <w:bookmarkEnd w:id="61"/>
      <w:bookmarkEnd w:id="62"/>
      <w:bookmarkEnd w:id="63"/>
    </w:p>
    <w:p w14:paraId="4A20405E" w14:textId="5F959CBD" w:rsidR="00E6063C" w:rsidRDefault="00E6063C" w:rsidP="00E6063C">
      <w:pPr>
        <w:pStyle w:val="Body"/>
      </w:pPr>
      <w:bookmarkStart w:id="64" w:name="_Toc72932899"/>
      <w:bookmarkEnd w:id="53"/>
      <w:r>
        <w:t>The cash deferrals have been eliminated for fiscal year 2021-22</w:t>
      </w:r>
      <w:r w:rsidR="00353C80">
        <w:t>.</w:t>
      </w:r>
      <w:r>
        <w:t xml:space="preserve"> </w:t>
      </w:r>
      <w:r w:rsidR="00656B05">
        <w:t>T</w:t>
      </w:r>
      <w:r>
        <w:t xml:space="preserve">he </w:t>
      </w:r>
      <w:r w:rsidR="0080185F">
        <w:t xml:space="preserve">First Principal Apportionment </w:t>
      </w:r>
      <w:r>
        <w:t>cash deferrals from 2020-21 are now on an accelerated payback schedule as follows:</w:t>
      </w:r>
      <w:r w:rsidR="00174D21">
        <w:t xml:space="preserve"> </w:t>
      </w:r>
    </w:p>
    <w:p w14:paraId="525229B1" w14:textId="7CCCFAD0" w:rsidR="00E6063C" w:rsidRDefault="00E6063C" w:rsidP="00000F1D">
      <w:pPr>
        <w:pStyle w:val="Bullet"/>
      </w:pPr>
      <w:r>
        <w:t>From February 2021 to August 2021</w:t>
      </w:r>
      <w:r w:rsidR="00353C80">
        <w:tab/>
      </w:r>
      <w:r>
        <w:t xml:space="preserve">$1.54 billion </w:t>
      </w:r>
    </w:p>
    <w:p w14:paraId="35165972" w14:textId="2131B745" w:rsidR="00E6063C" w:rsidRDefault="00E6063C" w:rsidP="00000F1D">
      <w:pPr>
        <w:pStyle w:val="Bullet"/>
      </w:pPr>
      <w:r>
        <w:t>From March 2021 to August 2021</w:t>
      </w:r>
      <w:r w:rsidR="00353C80">
        <w:tab/>
      </w:r>
      <w:r>
        <w:t xml:space="preserve">$2.38 billion </w:t>
      </w:r>
    </w:p>
    <w:p w14:paraId="357244B4" w14:textId="53C8AB4C" w:rsidR="00E6063C" w:rsidRDefault="00E6063C" w:rsidP="00000F1D">
      <w:pPr>
        <w:pStyle w:val="Bullet"/>
      </w:pPr>
      <w:r>
        <w:t>From April 2021 to August</w:t>
      </w:r>
      <w:r w:rsidR="00353C80">
        <w:t xml:space="preserve"> </w:t>
      </w:r>
      <w:r>
        <w:t>2021</w:t>
      </w:r>
      <w:r w:rsidR="00353C80">
        <w:tab/>
      </w:r>
      <w:r w:rsidR="00353C80">
        <w:tab/>
      </w:r>
      <w:r>
        <w:t xml:space="preserve">$2.38 billion </w:t>
      </w:r>
    </w:p>
    <w:p w14:paraId="7BC28281" w14:textId="0E246BEB" w:rsidR="00E6063C" w:rsidRDefault="00E6063C" w:rsidP="00000F1D">
      <w:pPr>
        <w:pStyle w:val="Bullet"/>
      </w:pPr>
      <w:r>
        <w:t>From May 2021 to August 2021</w:t>
      </w:r>
      <w:r w:rsidR="00353C80">
        <w:tab/>
      </w:r>
      <w:r w:rsidR="00353C80">
        <w:tab/>
      </w:r>
      <w:r>
        <w:t xml:space="preserve">$2.38 billion </w:t>
      </w:r>
    </w:p>
    <w:p w14:paraId="08183A2A" w14:textId="79D46E6E" w:rsidR="00E6063C" w:rsidRDefault="00E6063C" w:rsidP="00E6063C">
      <w:pPr>
        <w:pStyle w:val="Body"/>
      </w:pPr>
      <w:r>
        <w:t>Districts should prepare updated cash flow projections for 2021-22 to ensure all cash obligations are met timely</w:t>
      </w:r>
      <w:r w:rsidR="00656B05">
        <w:t>,</w:t>
      </w:r>
      <w:r>
        <w:t xml:space="preserve"> and cash balances should be monitored on an ongoing basis. </w:t>
      </w:r>
    </w:p>
    <w:p w14:paraId="79D43B50" w14:textId="7C476A33" w:rsidR="007552C3" w:rsidRPr="0014599C" w:rsidRDefault="007552C3" w:rsidP="004C4038">
      <w:pPr>
        <w:pStyle w:val="Subhead1"/>
      </w:pPr>
      <w:bookmarkStart w:id="65" w:name="_Toc77836549"/>
      <w:bookmarkStart w:id="66" w:name="_Toc77838791"/>
      <w:bookmarkStart w:id="67" w:name="_Toc77843056"/>
      <w:r w:rsidRPr="0014599C">
        <w:t xml:space="preserve">Reserves / </w:t>
      </w:r>
      <w:r w:rsidRPr="003577D7">
        <w:t>Reserve</w:t>
      </w:r>
      <w:r w:rsidRPr="0014599C">
        <w:t xml:space="preserve"> Cap</w:t>
      </w:r>
      <w:bookmarkEnd w:id="64"/>
      <w:bookmarkEnd w:id="65"/>
      <w:bookmarkEnd w:id="66"/>
      <w:bookmarkEnd w:id="67"/>
    </w:p>
    <w:p w14:paraId="3157C5C9" w14:textId="23415D84" w:rsidR="00BD5994" w:rsidRDefault="00BD5994">
      <w:pPr>
        <w:pStyle w:val="Body"/>
      </w:pPr>
      <w:r w:rsidRPr="00353C80">
        <w:t xml:space="preserve">The school district reserve cap will be triggered for </w:t>
      </w:r>
      <w:r w:rsidR="002F5DAE" w:rsidRPr="00353C80">
        <w:t>t</w:t>
      </w:r>
      <w:r w:rsidRPr="00353C80">
        <w:t xml:space="preserve">he first time beginning with the 2022-23 </w:t>
      </w:r>
      <w:r w:rsidR="00DE54E1">
        <w:t>Adopted Budget</w:t>
      </w:r>
      <w:r w:rsidRPr="003C0D17">
        <w:t>.</w:t>
      </w:r>
      <w:r w:rsidR="00174D21" w:rsidRPr="008F1E58">
        <w:t xml:space="preserve"> </w:t>
      </w:r>
      <w:r w:rsidRPr="008F1E58">
        <w:t>Districts should plan ahead to ensure that they are limiting their assigned and unassigned reserves to no more than 10% of annual expenditures.</w:t>
      </w:r>
      <w:r w:rsidR="00174D21" w:rsidRPr="008F1E58">
        <w:t xml:space="preserve"> </w:t>
      </w:r>
      <w:r w:rsidRPr="008F1E58">
        <w:t xml:space="preserve">Small </w:t>
      </w:r>
      <w:r w:rsidR="002F5DAE" w:rsidRPr="008F1E58">
        <w:t xml:space="preserve">(less than 2,501 ADA) </w:t>
      </w:r>
      <w:r w:rsidRPr="008F1E58">
        <w:t>and basic aid districts are exempt from this cap.</w:t>
      </w:r>
    </w:p>
    <w:p w14:paraId="6888730F" w14:textId="1ED9C1C1" w:rsidR="0093692B" w:rsidRPr="007002DD" w:rsidRDefault="0093692B" w:rsidP="0093692B">
      <w:pPr>
        <w:pStyle w:val="Subhead1"/>
        <w:rPr>
          <w:b w:val="0"/>
        </w:rPr>
      </w:pPr>
      <w:bookmarkStart w:id="68" w:name="_Toc77836550"/>
      <w:bookmarkStart w:id="69" w:name="_Toc77838792"/>
      <w:bookmarkStart w:id="70" w:name="_Toc77843057"/>
      <w:bookmarkStart w:id="71" w:name="_Toc72932901"/>
      <w:r w:rsidRPr="007002DD">
        <w:t>One-Time Funding</w:t>
      </w:r>
      <w:bookmarkEnd w:id="68"/>
      <w:bookmarkEnd w:id="69"/>
      <w:bookmarkEnd w:id="70"/>
      <w:r w:rsidR="004E3EE7">
        <w:t xml:space="preserve"> </w:t>
      </w:r>
      <w:bookmarkEnd w:id="71"/>
    </w:p>
    <w:p w14:paraId="36DB2C81" w14:textId="2BF5CFEC" w:rsidR="00E6063C" w:rsidRPr="00E6063C" w:rsidRDefault="00E6063C" w:rsidP="00E6063C">
      <w:pPr>
        <w:pStyle w:val="Body"/>
      </w:pPr>
      <w:bookmarkStart w:id="72" w:name="_Toc52962501"/>
      <w:r w:rsidRPr="00E6063C">
        <w:t xml:space="preserve">The state’s </w:t>
      </w:r>
      <w:r w:rsidR="00DE54E1">
        <w:t>Adopted Budget</w:t>
      </w:r>
      <w:r w:rsidRPr="00E6063C">
        <w:t xml:space="preserve"> includes several proposals that utilize one-time funding as outlined below. </w:t>
      </w:r>
    </w:p>
    <w:p w14:paraId="1147217D" w14:textId="77777777" w:rsidR="00E6063C" w:rsidRPr="00E6063C" w:rsidRDefault="00E6063C" w:rsidP="00E6063C">
      <w:pPr>
        <w:pStyle w:val="Body"/>
        <w:rPr>
          <w:b/>
        </w:rPr>
      </w:pPr>
      <w:r w:rsidRPr="00E6063C">
        <w:rPr>
          <w:b/>
        </w:rPr>
        <w:t>California Community Schools Partnership Program</w:t>
      </w:r>
    </w:p>
    <w:p w14:paraId="70DC7CF8" w14:textId="597FDD48" w:rsidR="00E6063C" w:rsidRPr="00E6063C" w:rsidRDefault="00866EB1" w:rsidP="00E6063C">
      <w:pPr>
        <w:pStyle w:val="Body"/>
      </w:pPr>
      <w:r>
        <w:t xml:space="preserve">The state’s </w:t>
      </w:r>
      <w:r w:rsidR="00DE54E1">
        <w:t>Adopted Budget</w:t>
      </w:r>
      <w:r>
        <w:t xml:space="preserve"> provides over $3 billion one-time Prop. 98 funding for the California Community Schools Partnership Program.</w:t>
      </w:r>
      <w:r w:rsidR="00174D21">
        <w:t xml:space="preserve"> </w:t>
      </w:r>
      <w:r w:rsidR="00E6063C" w:rsidRPr="00E6063C">
        <w:t>$141,833,000</w:t>
      </w:r>
      <w:r>
        <w:t xml:space="preserve"> is provided</w:t>
      </w:r>
      <w:r w:rsidR="00E6063C" w:rsidRPr="00E6063C">
        <w:t xml:space="preserve"> to create a network of at least five regional technical assistance centers. </w:t>
      </w:r>
      <w:r>
        <w:t>The remaining amount is provided to establish new and expand existing community schools.</w:t>
      </w:r>
      <w:r w:rsidR="00174D21">
        <w:t xml:space="preserve"> </w:t>
      </w:r>
      <w:r w:rsidR="00E6063C" w:rsidRPr="00E6063C">
        <w:t>The funds will be available for encumbrance or expenditure through June 30, 2028. This is a competitive grant program</w:t>
      </w:r>
      <w:r w:rsidR="00AD78A8">
        <w:t>,</w:t>
      </w:r>
      <w:r w:rsidR="00E6063C" w:rsidRPr="00E6063C">
        <w:t xml:space="preserve"> with the application process to be determined by the Superintendent of Public Instruction and the State Board of Education by November 15, 2021. </w:t>
      </w:r>
    </w:p>
    <w:p w14:paraId="55B317A6" w14:textId="1958F491" w:rsidR="00E6063C" w:rsidRPr="00E6063C" w:rsidRDefault="00E6063C" w:rsidP="00E6063C">
      <w:pPr>
        <w:pStyle w:val="Body"/>
      </w:pPr>
      <w:r w:rsidRPr="00E6063C">
        <w:t xml:space="preserve">The program allocates 10% for planning grants up to $200,000 for LEAs with no existing community schools. Implementation grants up to $500,000 for new or expansion of existing community schools will comprise 70% of the available funding. All planning and implementation grants require a </w:t>
      </w:r>
      <w:r w:rsidR="00656B05">
        <w:t>one-third</w:t>
      </w:r>
      <w:r w:rsidRPr="00E6063C">
        <w:t xml:space="preserve"> local match, and include supplement</w:t>
      </w:r>
      <w:r w:rsidR="00AD78A8">
        <w:t>,</w:t>
      </w:r>
      <w:r w:rsidRPr="00E6063C">
        <w:t xml:space="preserve"> not supplant requirements.</w:t>
      </w:r>
    </w:p>
    <w:p w14:paraId="3EDADD02" w14:textId="0DF04134" w:rsidR="00E6063C" w:rsidRPr="00E6063C" w:rsidRDefault="00E6063C" w:rsidP="00E6063C">
      <w:pPr>
        <w:pStyle w:val="Body"/>
      </w:pPr>
      <w:r w:rsidRPr="00E6063C">
        <w:t>The remaining 20% of funding for the program will be for coordination grants up to $100,000 for existing community schools to be allocated from the 2024-25 fiscal year through 2027-28. The coordination grants require a dollar-for-dollar match, and also include supplement</w:t>
      </w:r>
      <w:r w:rsidR="00AD78A8">
        <w:t>,</w:t>
      </w:r>
      <w:r w:rsidRPr="00E6063C">
        <w:t xml:space="preserve"> not supplant requirements.</w:t>
      </w:r>
    </w:p>
    <w:p w14:paraId="319CC13B" w14:textId="04AB1740" w:rsidR="00E6063C" w:rsidRPr="00E6063C" w:rsidRDefault="0025611F" w:rsidP="00E6063C">
      <w:pPr>
        <w:pStyle w:val="Body"/>
      </w:pPr>
      <w:r w:rsidRPr="0025611F">
        <w:rPr>
          <w:b/>
          <w:bCs/>
        </w:rPr>
        <w:lastRenderedPageBreak/>
        <w:t>Educator Effectiveness Block Grant</w:t>
      </w:r>
      <w:r>
        <w:t xml:space="preserve"> </w:t>
      </w:r>
      <w:r w:rsidR="00353C80">
        <w:t xml:space="preserve">– </w:t>
      </w:r>
      <w:r w:rsidR="00E6063C" w:rsidRPr="00E6063C">
        <w:t xml:space="preserve">This grant allocates $1.5 billion in one-time Prop. 98 funding to all LEAs based on an equal amount per full-time certificated and classified staff as reported in 2020-21 CALPADS and CBEDS. Funds are available from the 2021-22 fiscal year through 2025-26. Recipients are required to coordinate grant funds with Title II funds received. The grant is to be used to provide professional learning for teachers, administrators, paraprofessionals who work with pupils, and classified staff that interact with pupils. </w:t>
      </w:r>
    </w:p>
    <w:p w14:paraId="0B835067" w14:textId="6559B90F" w:rsidR="00E6063C" w:rsidRDefault="0080185F" w:rsidP="00E6063C">
      <w:pPr>
        <w:pStyle w:val="Body"/>
      </w:pPr>
      <w:r>
        <w:t xml:space="preserve">As a requirement of receiving funds, </w:t>
      </w:r>
      <w:r w:rsidR="00E6063C" w:rsidRPr="00E6063C">
        <w:t>LEAs must develop and adopt an expenditure plan by December 30, 2021, which must be presented to the governing board at a public meeting and adopted at a subsequent meeting. LEAs must also report detailed expenditure information to CDE by September 30, 2026.</w:t>
      </w:r>
      <w:r w:rsidR="00174D21">
        <w:t xml:space="preserve"> </w:t>
      </w:r>
      <w:r>
        <w:t xml:space="preserve">Additionally, procedures to audit this program will be incorporated in the </w:t>
      </w:r>
      <w:r w:rsidR="00656B05">
        <w:t>a</w:t>
      </w:r>
      <w:r>
        <w:t>nnual Audit Guide.</w:t>
      </w:r>
    </w:p>
    <w:p w14:paraId="13A6517A" w14:textId="372DB7E8" w:rsidR="00077A27" w:rsidRDefault="00077A27" w:rsidP="00E6063C">
      <w:pPr>
        <w:pStyle w:val="Body"/>
        <w:rPr>
          <w:b/>
          <w:bCs/>
        </w:rPr>
      </w:pPr>
      <w:r>
        <w:rPr>
          <w:b/>
          <w:bCs/>
        </w:rPr>
        <w:t xml:space="preserve">Educator </w:t>
      </w:r>
      <w:r w:rsidR="00000F1D">
        <w:rPr>
          <w:b/>
          <w:bCs/>
        </w:rPr>
        <w:t>Recruitment, Retention and Training</w:t>
      </w:r>
    </w:p>
    <w:p w14:paraId="053F30E1" w14:textId="530D888E" w:rsidR="00C34A9A" w:rsidRPr="00C34A9A" w:rsidRDefault="00C34A9A" w:rsidP="00E6063C">
      <w:pPr>
        <w:pStyle w:val="Body"/>
      </w:pPr>
      <w:r>
        <w:rPr>
          <w:b/>
          <w:bCs/>
        </w:rPr>
        <w:t>Certificated Employees</w:t>
      </w:r>
      <w:r w:rsidR="00077A27">
        <w:rPr>
          <w:b/>
          <w:bCs/>
        </w:rPr>
        <w:t xml:space="preserve"> </w:t>
      </w:r>
      <w:r w:rsidR="0067396A">
        <w:rPr>
          <w:b/>
          <w:bCs/>
        </w:rPr>
        <w:t xml:space="preserve">– </w:t>
      </w:r>
      <w:r>
        <w:t xml:space="preserve">The state’s </w:t>
      </w:r>
      <w:r w:rsidR="00DE54E1">
        <w:t>Adopted Budget</w:t>
      </w:r>
      <w:r>
        <w:t xml:space="preserve"> provides $350 million for the Teacher Residency Grant Program</w:t>
      </w:r>
      <w:r w:rsidR="00077A27">
        <w:t xml:space="preserve"> and</w:t>
      </w:r>
      <w:r>
        <w:t xml:space="preserve"> $250 million for National Board Certification</w:t>
      </w:r>
      <w:r w:rsidR="00077A27">
        <w:t>.</w:t>
      </w:r>
      <w:r>
        <w:t xml:space="preserve"> These programs are intended to build capacity in teacher intern programs, </w:t>
      </w:r>
      <w:r w:rsidR="00077A27">
        <w:t xml:space="preserve">recognition for National Board </w:t>
      </w:r>
      <w:r w:rsidR="0067396A">
        <w:t>C</w:t>
      </w:r>
      <w:r w:rsidR="00077A27">
        <w:t>ertification, and flexibility in meeting the basic skills requirements for credentialing to build adequate substitute pools.</w:t>
      </w:r>
    </w:p>
    <w:p w14:paraId="0978CA77" w14:textId="362E2134" w:rsidR="0025611F" w:rsidRPr="0025611F" w:rsidRDefault="0025611F" w:rsidP="00E6063C">
      <w:pPr>
        <w:pStyle w:val="Body"/>
      </w:pPr>
      <w:r>
        <w:rPr>
          <w:b/>
          <w:bCs/>
        </w:rPr>
        <w:t>Classified Employees</w:t>
      </w:r>
      <w:r w:rsidR="00077A27">
        <w:rPr>
          <w:b/>
          <w:bCs/>
        </w:rPr>
        <w:t xml:space="preserve"> </w:t>
      </w:r>
      <w:r w:rsidR="0067396A">
        <w:rPr>
          <w:b/>
          <w:bCs/>
        </w:rPr>
        <w:t xml:space="preserve">– </w:t>
      </w:r>
      <w:r w:rsidR="005A6556">
        <w:t xml:space="preserve">The state’s </w:t>
      </w:r>
      <w:r w:rsidR="00DE54E1">
        <w:t>Adopted Budget</w:t>
      </w:r>
      <w:r w:rsidR="005A6556">
        <w:t xml:space="preserve"> allocates $60 million</w:t>
      </w:r>
      <w:r w:rsidR="00077A27">
        <w:t xml:space="preserve"> to continue to fund </w:t>
      </w:r>
      <w:r w:rsidR="00C34A9A">
        <w:t xml:space="preserve">the </w:t>
      </w:r>
      <w:r w:rsidR="005A6556">
        <w:t>Classified School Employee Summer Assistance Program</w:t>
      </w:r>
      <w:r w:rsidR="00C34A9A">
        <w:t xml:space="preserve"> and $125 million for the California Commission on Teacher Credentialing </w:t>
      </w:r>
      <w:r w:rsidR="00077A27">
        <w:t>to</w:t>
      </w:r>
      <w:r w:rsidR="00C34A9A">
        <w:t xml:space="preserve"> support the Classified School Employee Teacher Credentialing Program.</w:t>
      </w:r>
      <w:r>
        <w:t xml:space="preserve"> </w:t>
      </w:r>
    </w:p>
    <w:p w14:paraId="47B040C1" w14:textId="71C7AF35" w:rsidR="00E6063C" w:rsidRPr="00E6063C" w:rsidRDefault="00E6063C" w:rsidP="00E6063C">
      <w:pPr>
        <w:pStyle w:val="Subhead4"/>
        <w:rPr>
          <w:rFonts w:ascii="Times New Roman" w:hAnsi="Times New Roman"/>
        </w:rPr>
      </w:pPr>
      <w:r w:rsidRPr="00E6063C">
        <w:rPr>
          <w:rFonts w:ascii="Times New Roman" w:hAnsi="Times New Roman"/>
        </w:rPr>
        <w:t>A-G Completion Improvement Grant Program</w:t>
      </w:r>
      <w:r w:rsidR="0080185F">
        <w:rPr>
          <w:rFonts w:ascii="Times New Roman" w:hAnsi="Times New Roman"/>
        </w:rPr>
        <w:t>s</w:t>
      </w:r>
    </w:p>
    <w:p w14:paraId="4FB114F0" w14:textId="22BCAA0C" w:rsidR="00E6063C" w:rsidRPr="00E6063C" w:rsidRDefault="00E6063C" w:rsidP="00E6063C">
      <w:pPr>
        <w:pStyle w:val="Body"/>
      </w:pPr>
      <w:r w:rsidRPr="00E6063C">
        <w:t xml:space="preserve">The state’s </w:t>
      </w:r>
      <w:r w:rsidR="00DE54E1">
        <w:t>Adopted Budget</w:t>
      </w:r>
      <w:r w:rsidRPr="00E6063C">
        <w:t xml:space="preserve"> allocates $547,513,000 of one-time Prop. 98 funds in fiscal year 2021-22 to establish this program to provide additional supports to LEAs to increase the number of pupils who graduate from high school with A-G eligibility. Funds are available for expenditure or encumbrance through fiscal year 2025-26. </w:t>
      </w:r>
    </w:p>
    <w:p w14:paraId="577D1972" w14:textId="3AD46640" w:rsidR="00E6063C" w:rsidRPr="00E6063C" w:rsidRDefault="00E6063C" w:rsidP="00E6063C">
      <w:pPr>
        <w:pStyle w:val="Body"/>
      </w:pPr>
      <w:r w:rsidRPr="00E6063C">
        <w:t xml:space="preserve">The </w:t>
      </w:r>
      <w:r w:rsidR="00F20C80">
        <w:t>A-G Access P</w:t>
      </w:r>
      <w:r w:rsidRPr="00E6063C">
        <w:t xml:space="preserve">rogram allocates $300 million distributed per unduplicated pupil in grades 9-12 to LEAs with overall A-G completion rates less than 67%. Eligible LEAs that receive </w:t>
      </w:r>
      <w:r w:rsidR="00F20C80">
        <w:t xml:space="preserve">LCFF </w:t>
      </w:r>
      <w:r w:rsidRPr="00E6063C">
        <w:t xml:space="preserve">concentration grant funding will receive an allocation of at least $75,000. </w:t>
      </w:r>
    </w:p>
    <w:p w14:paraId="75461795" w14:textId="01638191" w:rsidR="00E6063C" w:rsidRPr="00E6063C" w:rsidRDefault="00E6063C" w:rsidP="00E6063C">
      <w:pPr>
        <w:pStyle w:val="Body"/>
      </w:pPr>
      <w:r w:rsidRPr="00E6063C">
        <w:t xml:space="preserve">The </w:t>
      </w:r>
      <w:r w:rsidR="00F20C80">
        <w:t>A-G Access P</w:t>
      </w:r>
      <w:r w:rsidR="00F20C80" w:rsidRPr="00E6063C">
        <w:t xml:space="preserve">rogram </w:t>
      </w:r>
      <w:r w:rsidRPr="00E6063C">
        <w:t xml:space="preserve">allocates $100 million distributed per unduplicated pupil in grades 9-12 to LEAs with overall A-G completion rates greater than 67%. Eligible LEAs that receive </w:t>
      </w:r>
      <w:r w:rsidR="00F20C80">
        <w:t xml:space="preserve">LCFF </w:t>
      </w:r>
      <w:r w:rsidRPr="00E6063C">
        <w:t xml:space="preserve">concentration grant funding will receive an allocation of at least $75,000. </w:t>
      </w:r>
    </w:p>
    <w:p w14:paraId="1D03A1EC" w14:textId="59341134" w:rsidR="00E6063C" w:rsidRPr="00E6063C" w:rsidRDefault="00E6063C" w:rsidP="00E6063C">
      <w:pPr>
        <w:pStyle w:val="Body"/>
      </w:pPr>
      <w:r w:rsidRPr="00E6063C">
        <w:t xml:space="preserve">The remaining allocation of $147,513,000 is for the A-G Learning Loss Mitigation Grant and is also distributed per unduplicated pupil in grades 9-12, and the minimum allocation to eligible LEAs that receive </w:t>
      </w:r>
      <w:r w:rsidR="00F20C80">
        <w:t xml:space="preserve">LCFF </w:t>
      </w:r>
      <w:r w:rsidRPr="00E6063C">
        <w:t xml:space="preserve">concentration grant funding will be $75,000. This grant is to be used for pupils who received a grade of “D” or “F” in an A-G course in </w:t>
      </w:r>
      <w:r w:rsidR="0067396A">
        <w:t>s</w:t>
      </w:r>
      <w:r w:rsidRPr="00E6063C">
        <w:t xml:space="preserve">pring 2020 or the 2020-21 school year to retake the course(s). LEAs may use any remaining grant funds for credit recovery opportunities to ensure all pupils graduate high school on time. </w:t>
      </w:r>
    </w:p>
    <w:p w14:paraId="2F6798B4" w14:textId="6ACF455A" w:rsidR="00E6063C" w:rsidRPr="00E6063C" w:rsidRDefault="00E6063C" w:rsidP="00E6063C">
      <w:pPr>
        <w:pStyle w:val="Body"/>
      </w:pPr>
      <w:r w:rsidRPr="00E6063C">
        <w:lastRenderedPageBreak/>
        <w:t>All grant recipients must develop a plan by January 1, 2022 describing how the funds will be used to increase or improve services for unduplicated pupils to improve A-G eligibility, and must also include how the services supplement, not supplant, the services identified in the LCAP. The plan must be discussed at a regularly scheduled public board meeting and adopted at a subsequent regularly scheduled meeting. The grant also requires reporting to CDE by December 31, 2023</w:t>
      </w:r>
      <w:r w:rsidR="0067396A">
        <w:t>,</w:t>
      </w:r>
      <w:r w:rsidRPr="00E6063C">
        <w:t xml:space="preserve"> and reporting final outcomes of the impact of funds by August 31, 2026. </w:t>
      </w:r>
    </w:p>
    <w:p w14:paraId="78ECFBF6" w14:textId="77777777" w:rsidR="00E6063C" w:rsidRPr="002E4A5D" w:rsidRDefault="00E6063C" w:rsidP="00000F1D">
      <w:pPr>
        <w:pStyle w:val="Body"/>
        <w:rPr>
          <w:bCs/>
        </w:rPr>
      </w:pPr>
      <w:r w:rsidRPr="00000F1D">
        <w:rPr>
          <w:b/>
          <w:bCs/>
        </w:rPr>
        <w:t>Classified Food Service Employee Training and Kitchen Infrastructure</w:t>
      </w:r>
    </w:p>
    <w:p w14:paraId="368B0F0B" w14:textId="77777777" w:rsidR="00E6063C" w:rsidRPr="00E6063C" w:rsidRDefault="00E6063C" w:rsidP="00E6063C">
      <w:pPr>
        <w:pStyle w:val="Body"/>
      </w:pPr>
      <w:r w:rsidRPr="00E6063C">
        <w:t xml:space="preserve">This program allocates $150 million of one-time Prop. 98 funding for the 2021-22 fiscal year: $120 million for kitchen infrastructure upgrades and $30 million for training food service staff. </w:t>
      </w:r>
    </w:p>
    <w:p w14:paraId="0FCCEA72" w14:textId="77777777" w:rsidR="00E6063C" w:rsidRPr="00E6063C" w:rsidRDefault="00E6063C" w:rsidP="00E6063C">
      <w:pPr>
        <w:pStyle w:val="Body"/>
      </w:pPr>
      <w:r w:rsidRPr="00E6063C">
        <w:t>For kitchen infrastructure, all LEAs will receive a base allocation of $25,000, and the remainder of funds will be distributed proportionately to LEAs with at least 50% of students eligible for free and reduced-price meals. Allowable uses of these funds include cooking equipment, service equipment, refrigeration and storage, and food service transportation vehicles and equipment. LEAs are required to report to CDE by June 30, 2022 on how the funding was used to improve the quality of school meals or increase participation in subsidized school meal programs.</w:t>
      </w:r>
    </w:p>
    <w:p w14:paraId="434ADBE6" w14:textId="4ABFDD73" w:rsidR="00E6063C" w:rsidRDefault="00E6063C" w:rsidP="00E6063C">
      <w:pPr>
        <w:pStyle w:val="Body"/>
        <w:rPr>
          <w:rFonts w:asciiTheme="minorHAnsi" w:hAnsiTheme="minorHAnsi" w:cstheme="minorHAnsi"/>
        </w:rPr>
      </w:pPr>
      <w:r w:rsidRPr="00E6063C">
        <w:t>LEAs will receive their share of $30 million for training based on their number of classified school employees in 2020-21. The minimum allocation will be $2,000 and is to be used for food service staff to receive training on promoting nutritious foods, which includes training on food preparation, healthy food marketing, and changing the school lunchroom environment</w:t>
      </w:r>
      <w:r w:rsidRPr="006E086A">
        <w:rPr>
          <w:rFonts w:asciiTheme="minorHAnsi" w:hAnsiTheme="minorHAnsi" w:cstheme="minorHAnsi"/>
        </w:rPr>
        <w:t xml:space="preserve">. </w:t>
      </w:r>
    </w:p>
    <w:p w14:paraId="676B8444" w14:textId="721EE0D7" w:rsidR="00437AE9" w:rsidRPr="0014599C" w:rsidRDefault="00437AE9" w:rsidP="00437AE9">
      <w:pPr>
        <w:pStyle w:val="Subhead1"/>
      </w:pPr>
      <w:bookmarkStart w:id="73" w:name="_Toc77836551"/>
      <w:bookmarkStart w:id="74" w:name="_Toc77838793"/>
      <w:bookmarkStart w:id="75" w:name="_Toc77843058"/>
      <w:r>
        <w:t xml:space="preserve">Universal </w:t>
      </w:r>
      <w:r w:rsidR="00E23778">
        <w:t>School Meals</w:t>
      </w:r>
      <w:bookmarkEnd w:id="73"/>
      <w:bookmarkEnd w:id="74"/>
      <w:bookmarkEnd w:id="75"/>
    </w:p>
    <w:p w14:paraId="22BE170C" w14:textId="04223E3B" w:rsidR="00437AE9" w:rsidRPr="00656B05" w:rsidRDefault="00437AE9" w:rsidP="00000F1D">
      <w:pPr>
        <w:pStyle w:val="Body"/>
      </w:pPr>
      <w:r w:rsidRPr="00353C80">
        <w:t>Provisions for expanding meal service would commence in the 2022</w:t>
      </w:r>
      <w:r w:rsidR="0067396A">
        <w:t>-</w:t>
      </w:r>
      <w:r w:rsidRPr="00353C80">
        <w:t>23 school year</w:t>
      </w:r>
      <w:r w:rsidR="00E23778" w:rsidRPr="00353C80">
        <w:t xml:space="preserve"> and</w:t>
      </w:r>
      <w:r w:rsidRPr="00353C80">
        <w:t xml:space="preserve"> will only be implemented if the Legislature app</w:t>
      </w:r>
      <w:r w:rsidRPr="003C0D17">
        <w:t xml:space="preserve">ropriates funds for </w:t>
      </w:r>
      <w:r w:rsidR="00694B6D">
        <w:t>this</w:t>
      </w:r>
      <w:r w:rsidR="00694B6D" w:rsidRPr="003C0D17">
        <w:t xml:space="preserve"> </w:t>
      </w:r>
      <w:r w:rsidRPr="003C0D17">
        <w:t>purpose.</w:t>
      </w:r>
      <w:r w:rsidR="00174D21" w:rsidRPr="008F1E58">
        <w:t xml:space="preserve"> </w:t>
      </w:r>
      <w:r w:rsidRPr="008F1E58">
        <w:t xml:space="preserve">This program would require LEAs to provide </w:t>
      </w:r>
      <w:r w:rsidRPr="00000F1D">
        <w:t>two</w:t>
      </w:r>
      <w:r w:rsidRPr="00353C80">
        <w:t xml:space="preserve"> nutritio</w:t>
      </w:r>
      <w:r w:rsidR="0067396A">
        <w:t>nal</w:t>
      </w:r>
      <w:r w:rsidRPr="00353C80">
        <w:t xml:space="preserve">ly adequate school meals free of charge during each school day to </w:t>
      </w:r>
      <w:r w:rsidRPr="00000F1D">
        <w:t>any</w:t>
      </w:r>
      <w:r w:rsidRPr="00353C80">
        <w:t xml:space="preserve"> pupil who requests a meal</w:t>
      </w:r>
      <w:r w:rsidR="0067396A">
        <w:t>,</w:t>
      </w:r>
      <w:r w:rsidRPr="00353C80">
        <w:t xml:space="preserve"> without consideration of the pupil’s eligibility for a federally funded free or reduced-price meal (FRPM), </w:t>
      </w:r>
      <w:r w:rsidR="0067396A">
        <w:t xml:space="preserve">and </w:t>
      </w:r>
      <w:r w:rsidRPr="00353C80">
        <w:t>with a maximum of one free meal for each meal service period.</w:t>
      </w:r>
    </w:p>
    <w:p w14:paraId="7186E1E0" w14:textId="77DD3384" w:rsidR="00437AE9" w:rsidRPr="008F1E58" w:rsidRDefault="00437AE9" w:rsidP="00000F1D">
      <w:pPr>
        <w:pStyle w:val="Body"/>
      </w:pPr>
      <w:r w:rsidRPr="0067396A">
        <w:t>LEAs</w:t>
      </w:r>
      <w:r w:rsidR="00FA092D">
        <w:t xml:space="preserve"> the participate in the federal School Breakfast Program and National School Lunch program</w:t>
      </w:r>
      <w:r w:rsidRPr="0067396A">
        <w:t xml:space="preserve"> would be reimbursed expenses.</w:t>
      </w:r>
      <w:r w:rsidR="00174D21" w:rsidRPr="008F1E58">
        <w:t xml:space="preserve"> </w:t>
      </w:r>
      <w:r w:rsidRPr="008F1E58">
        <w:t xml:space="preserve">The </w:t>
      </w:r>
      <w:r w:rsidR="0067396A" w:rsidRPr="008F1E58">
        <w:t>number</w:t>
      </w:r>
      <w:r w:rsidRPr="008F1E58">
        <w:t xml:space="preserve"> of per-meal reimbursements </w:t>
      </w:r>
      <w:r w:rsidR="00694B6D">
        <w:t>could</w:t>
      </w:r>
      <w:r w:rsidR="00694B6D" w:rsidRPr="008F1E58">
        <w:t xml:space="preserve"> </w:t>
      </w:r>
      <w:r w:rsidRPr="008F1E58">
        <w:t xml:space="preserve">not exceed the difference between the sum of the amounts calculated from meals claimed based on the free combined breakfast and lunch reimbursement rates established by the USDA and state meal contribution, and the combined federal and state amounts reimbursed for reduced-price and paid meals claimed. CDE </w:t>
      </w:r>
      <w:r w:rsidR="00694B6D">
        <w:t>would</w:t>
      </w:r>
      <w:r w:rsidR="00694B6D" w:rsidRPr="008F1E58">
        <w:t xml:space="preserve"> </w:t>
      </w:r>
      <w:r w:rsidRPr="008F1E58">
        <w:t>develop and adopt regulations to implement this provision.</w:t>
      </w:r>
      <w:r w:rsidR="00174D21" w:rsidRPr="008F1E58">
        <w:t xml:space="preserve"> </w:t>
      </w:r>
    </w:p>
    <w:p w14:paraId="5E944941" w14:textId="41148441" w:rsidR="00437AE9" w:rsidRDefault="00437AE9">
      <w:pPr>
        <w:pStyle w:val="Body"/>
      </w:pPr>
      <w:r w:rsidRPr="008F1E58">
        <w:t xml:space="preserve">AB 130 adjusts the definition of “eligible for free or reduced-price meals” </w:t>
      </w:r>
      <w:r w:rsidR="00866EB1" w:rsidRPr="008F1E58">
        <w:t>for schools participating in a federal universal school meal provision.</w:t>
      </w:r>
      <w:r w:rsidR="00174D21" w:rsidRPr="008F1E58">
        <w:t xml:space="preserve"> </w:t>
      </w:r>
      <w:r w:rsidR="00866EB1" w:rsidRPr="008F1E58">
        <w:t xml:space="preserve">Schools will have the option </w:t>
      </w:r>
      <w:r w:rsidRPr="008F1E58">
        <w:t>to carry over the number of pupils at the school who were eligible for FRPM from the school year in which the school applied to use a federal universal school meal provision, and to use each pupil’s eligibility status in the base year to report eligibility for up to each of the following three school years</w:t>
      </w:r>
      <w:r w:rsidR="00866EB1" w:rsidRPr="008F1E58">
        <w:t xml:space="preserve"> for </w:t>
      </w:r>
      <w:r w:rsidR="00694B6D" w:rsidRPr="008F1E58">
        <w:t xml:space="preserve">LCFF </w:t>
      </w:r>
      <w:r w:rsidR="00866EB1" w:rsidRPr="008F1E58">
        <w:t>purposes.</w:t>
      </w:r>
      <w:r w:rsidR="00174D21" w:rsidRPr="008F1E58">
        <w:t xml:space="preserve"> </w:t>
      </w:r>
      <w:r w:rsidR="00866EB1" w:rsidRPr="008F1E58">
        <w:t xml:space="preserve">Additionally, schools that are eligible to operate the Community </w:t>
      </w:r>
      <w:r w:rsidR="00866EB1" w:rsidRPr="008F1E58">
        <w:lastRenderedPageBreak/>
        <w:t>Eligibility Provision (CEP) will be required to operate CEP or another federal universal school meal provision on or before June 30, 2022.</w:t>
      </w:r>
      <w:r w:rsidRPr="008F1E58">
        <w:t xml:space="preserve"> </w:t>
      </w:r>
    </w:p>
    <w:p w14:paraId="6D7A0350" w14:textId="5AE61C63" w:rsidR="00437AE9" w:rsidRPr="00D84CAA" w:rsidRDefault="00437AE9" w:rsidP="00437AE9">
      <w:pPr>
        <w:pStyle w:val="Subhead1"/>
      </w:pPr>
      <w:bookmarkStart w:id="76" w:name="_Toc77836552"/>
      <w:bookmarkStart w:id="77" w:name="_Toc77838794"/>
      <w:bookmarkStart w:id="78" w:name="_Toc77843059"/>
      <w:r w:rsidRPr="00D84CAA">
        <w:t>E</w:t>
      </w:r>
      <w:r>
        <w:t xml:space="preserve">arly Childhood </w:t>
      </w:r>
      <w:r w:rsidRPr="003577D7">
        <w:t>Education</w:t>
      </w:r>
      <w:r w:rsidR="00BF019B">
        <w:t xml:space="preserve"> (ECE)</w:t>
      </w:r>
      <w:bookmarkEnd w:id="76"/>
      <w:bookmarkEnd w:id="77"/>
      <w:bookmarkEnd w:id="78"/>
    </w:p>
    <w:p w14:paraId="7CDE09B2" w14:textId="4B2286CE" w:rsidR="00437AE9" w:rsidRPr="00BD5994" w:rsidRDefault="00437AE9" w:rsidP="00437AE9">
      <w:pPr>
        <w:pStyle w:val="Body"/>
      </w:pPr>
      <w:r w:rsidRPr="00BD5994">
        <w:t xml:space="preserve">The </w:t>
      </w:r>
      <w:r w:rsidR="00353C80">
        <w:t>b</w:t>
      </w:r>
      <w:r w:rsidRPr="00BD5994">
        <w:t>udget as enacted contains some significant policy and program changes to early learning and care that are in line with the master plan published in 2020. Changes relevant to LEAs are listed below.</w:t>
      </w:r>
    </w:p>
    <w:p w14:paraId="6D26F8C2" w14:textId="77777777" w:rsidR="00437AE9" w:rsidRPr="002E4A5D" w:rsidRDefault="00437AE9" w:rsidP="00000F1D">
      <w:pPr>
        <w:pStyle w:val="Body"/>
        <w:rPr>
          <w:bCs/>
        </w:rPr>
      </w:pPr>
      <w:r w:rsidRPr="00000F1D">
        <w:rPr>
          <w:b/>
          <w:bCs/>
        </w:rPr>
        <w:t>Cost-of-Living Adjustments</w:t>
      </w:r>
    </w:p>
    <w:p w14:paraId="0B221780" w14:textId="77777777" w:rsidR="00437AE9" w:rsidRPr="00BD5994" w:rsidRDefault="00437AE9" w:rsidP="00437AE9">
      <w:pPr>
        <w:pStyle w:val="Body"/>
      </w:pPr>
      <w:r w:rsidRPr="00BD5994">
        <w:t xml:space="preserve">A 4.05% COLA is provided for State Preschool Programs and early care and education programs. </w:t>
      </w:r>
    </w:p>
    <w:p w14:paraId="35EC4811" w14:textId="77777777" w:rsidR="00437AE9" w:rsidRPr="002E4A5D" w:rsidRDefault="00437AE9" w:rsidP="00000F1D">
      <w:pPr>
        <w:pStyle w:val="Body"/>
        <w:rPr>
          <w:bCs/>
        </w:rPr>
      </w:pPr>
      <w:r w:rsidRPr="00000F1D">
        <w:rPr>
          <w:b/>
          <w:bCs/>
        </w:rPr>
        <w:t xml:space="preserve">Universal Transitional Kindergarten (UTK) </w:t>
      </w:r>
    </w:p>
    <w:p w14:paraId="4495815A" w14:textId="069A7AD6" w:rsidR="00437AE9" w:rsidRPr="00BD5994" w:rsidRDefault="00437AE9" w:rsidP="00437AE9">
      <w:pPr>
        <w:pStyle w:val="Body"/>
      </w:pPr>
      <w:r w:rsidRPr="00BD5994">
        <w:t xml:space="preserve">To provide access to free, high-quality, inclusive pre-kindergarten education for all children, the </w:t>
      </w:r>
      <w:r w:rsidR="0067396A">
        <w:t>b</w:t>
      </w:r>
      <w:r w:rsidRPr="00BD5994">
        <w:t xml:space="preserve">udget proposes a series of investments beginning in 2022-23 to incrementally establish universal transitional kindergarten, creating a “14th grade” of public education by 2025-26. </w:t>
      </w:r>
    </w:p>
    <w:p w14:paraId="369036FB" w14:textId="77777777" w:rsidR="00437AE9" w:rsidRPr="00BD5994" w:rsidRDefault="00437AE9" w:rsidP="00437AE9">
      <w:pPr>
        <w:pStyle w:val="Body"/>
      </w:pPr>
      <w:r w:rsidRPr="00BD5994">
        <w:t>UTK would be phased in over four years, with LEAs able to use 2021-22 for planning and infrastructure development and additional access for 4-year-olds, increased in increments of three months of age per year from 2022-23 through 2025-26, when all 4-year-olds would be eligible.</w:t>
      </w:r>
    </w:p>
    <w:tbl>
      <w:tblPr>
        <w:tblStyle w:val="GridTable6Colorful-Accent11"/>
        <w:tblW w:w="5408" w:type="dxa"/>
        <w:tblLook w:val="04A0" w:firstRow="1" w:lastRow="0" w:firstColumn="1" w:lastColumn="0" w:noHBand="0" w:noVBand="1"/>
      </w:tblPr>
      <w:tblGrid>
        <w:gridCol w:w="1324"/>
        <w:gridCol w:w="4084"/>
      </w:tblGrid>
      <w:tr w:rsidR="0076066A" w:rsidRPr="0076066A" w14:paraId="6F513384" w14:textId="77777777" w:rsidTr="00364B4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324" w:type="dxa"/>
            <w:hideMark/>
          </w:tcPr>
          <w:p w14:paraId="13F72F6A" w14:textId="5EED284B" w:rsidR="00437AE9" w:rsidRPr="00364B4D" w:rsidRDefault="00437AE9" w:rsidP="00353C80">
            <w:pPr>
              <w:rPr>
                <w:color w:val="000000" w:themeColor="text1"/>
              </w:rPr>
            </w:pPr>
            <w:r w:rsidRPr="00364B4D">
              <w:rPr>
                <w:color w:val="000000" w:themeColor="text1"/>
                <w:sz w:val="22"/>
                <w:szCs w:val="22"/>
              </w:rPr>
              <w:t> Y</w:t>
            </w:r>
            <w:r w:rsidR="00353C80" w:rsidRPr="00364B4D">
              <w:rPr>
                <w:color w:val="000000" w:themeColor="text1"/>
                <w:sz w:val="22"/>
                <w:szCs w:val="22"/>
              </w:rPr>
              <w:t>ear</w:t>
            </w:r>
          </w:p>
        </w:tc>
        <w:tc>
          <w:tcPr>
            <w:tcW w:w="4084" w:type="dxa"/>
            <w:hideMark/>
          </w:tcPr>
          <w:p w14:paraId="0CE2AE9B" w14:textId="4B2FABAC" w:rsidR="00437AE9" w:rsidRPr="00364B4D" w:rsidRDefault="00353C80" w:rsidP="00E20078">
            <w:pPr>
              <w:cnfStyle w:val="100000000000" w:firstRow="1" w:lastRow="0" w:firstColumn="0" w:lastColumn="0" w:oddVBand="0" w:evenVBand="0" w:oddHBand="0" w:evenHBand="0" w:firstRowFirstColumn="0" w:firstRowLastColumn="0" w:lastRowFirstColumn="0" w:lastRowLastColumn="0"/>
              <w:rPr>
                <w:color w:val="000000" w:themeColor="text1"/>
              </w:rPr>
            </w:pPr>
            <w:r w:rsidRPr="00364B4D">
              <w:rPr>
                <w:color w:val="000000" w:themeColor="text1"/>
                <w:sz w:val="22"/>
                <w:szCs w:val="22"/>
              </w:rPr>
              <w:t>Eligibility</w:t>
            </w:r>
          </w:p>
        </w:tc>
      </w:tr>
      <w:tr w:rsidR="0076066A" w:rsidRPr="0076066A" w14:paraId="05FCC11C" w14:textId="77777777" w:rsidTr="00364B4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24" w:type="dxa"/>
            <w:hideMark/>
          </w:tcPr>
          <w:p w14:paraId="19324C89" w14:textId="7ED9CAEF" w:rsidR="00437AE9" w:rsidRPr="00000F1D" w:rsidRDefault="00437AE9" w:rsidP="00E20078">
            <w:pPr>
              <w:rPr>
                <w:b w:val="0"/>
                <w:bCs w:val="0"/>
                <w:color w:val="auto"/>
              </w:rPr>
            </w:pPr>
            <w:r w:rsidRPr="00000F1D">
              <w:rPr>
                <w:color w:val="auto"/>
                <w:sz w:val="22"/>
                <w:szCs w:val="22"/>
              </w:rPr>
              <w:t>2021</w:t>
            </w:r>
            <w:r w:rsidR="0067396A" w:rsidRPr="00000F1D">
              <w:rPr>
                <w:color w:val="auto"/>
              </w:rPr>
              <w:t>-</w:t>
            </w:r>
            <w:r w:rsidRPr="00000F1D">
              <w:rPr>
                <w:color w:val="auto"/>
                <w:sz w:val="22"/>
                <w:szCs w:val="22"/>
              </w:rPr>
              <w:t>22</w:t>
            </w:r>
          </w:p>
        </w:tc>
        <w:tc>
          <w:tcPr>
            <w:tcW w:w="4084" w:type="dxa"/>
            <w:hideMark/>
          </w:tcPr>
          <w:p w14:paraId="39AEE7BB" w14:textId="5CCE0EC2" w:rsidR="00437AE9" w:rsidRPr="00000F1D" w:rsidRDefault="00437AE9" w:rsidP="00E20078">
            <w:pPr>
              <w:cnfStyle w:val="000000100000" w:firstRow="0" w:lastRow="0" w:firstColumn="0" w:lastColumn="0" w:oddVBand="0" w:evenVBand="0" w:oddHBand="1" w:evenHBand="0" w:firstRowFirstColumn="0" w:firstRowLastColumn="0" w:lastRowFirstColumn="0" w:lastRowLastColumn="0"/>
              <w:rPr>
                <w:color w:val="auto"/>
              </w:rPr>
            </w:pPr>
            <w:r w:rsidRPr="00000F1D">
              <w:rPr>
                <w:color w:val="auto"/>
                <w:sz w:val="22"/>
                <w:szCs w:val="22"/>
              </w:rPr>
              <w:t>Turns 5 between Sept</w:t>
            </w:r>
            <w:r w:rsidR="00694B6D">
              <w:rPr>
                <w:color w:val="auto"/>
              </w:rPr>
              <w:t>.</w:t>
            </w:r>
            <w:r w:rsidRPr="00000F1D">
              <w:rPr>
                <w:color w:val="auto"/>
                <w:sz w:val="22"/>
                <w:szCs w:val="22"/>
              </w:rPr>
              <w:t xml:space="preserve"> 2</w:t>
            </w:r>
            <w:r w:rsidR="00694B6D">
              <w:rPr>
                <w:color w:val="auto"/>
              </w:rPr>
              <w:t xml:space="preserve"> </w:t>
            </w:r>
            <w:r w:rsidRPr="00000F1D">
              <w:rPr>
                <w:color w:val="auto"/>
                <w:sz w:val="22"/>
                <w:szCs w:val="22"/>
              </w:rPr>
              <w:t>- Dec 2 (no change)</w:t>
            </w:r>
          </w:p>
        </w:tc>
      </w:tr>
      <w:tr w:rsidR="0076066A" w:rsidRPr="0076066A" w14:paraId="32457750" w14:textId="77777777" w:rsidTr="00364B4D">
        <w:trPr>
          <w:trHeight w:val="239"/>
        </w:trPr>
        <w:tc>
          <w:tcPr>
            <w:cnfStyle w:val="001000000000" w:firstRow="0" w:lastRow="0" w:firstColumn="1" w:lastColumn="0" w:oddVBand="0" w:evenVBand="0" w:oddHBand="0" w:evenHBand="0" w:firstRowFirstColumn="0" w:firstRowLastColumn="0" w:lastRowFirstColumn="0" w:lastRowLastColumn="0"/>
            <w:tcW w:w="1324" w:type="dxa"/>
            <w:hideMark/>
          </w:tcPr>
          <w:p w14:paraId="4C891049" w14:textId="044B30C8" w:rsidR="00437AE9" w:rsidRPr="00000F1D" w:rsidRDefault="00437AE9" w:rsidP="00E20078">
            <w:pPr>
              <w:rPr>
                <w:b w:val="0"/>
                <w:bCs w:val="0"/>
                <w:color w:val="auto"/>
              </w:rPr>
            </w:pPr>
            <w:r w:rsidRPr="00000F1D">
              <w:rPr>
                <w:color w:val="auto"/>
                <w:sz w:val="22"/>
                <w:szCs w:val="22"/>
              </w:rPr>
              <w:t>2022</w:t>
            </w:r>
            <w:r w:rsidR="0067396A" w:rsidRPr="00000F1D">
              <w:rPr>
                <w:color w:val="auto"/>
              </w:rPr>
              <w:t>-</w:t>
            </w:r>
            <w:r w:rsidRPr="00000F1D">
              <w:rPr>
                <w:color w:val="auto"/>
                <w:sz w:val="22"/>
                <w:szCs w:val="22"/>
              </w:rPr>
              <w:t>23</w:t>
            </w:r>
          </w:p>
        </w:tc>
        <w:tc>
          <w:tcPr>
            <w:tcW w:w="4084" w:type="dxa"/>
            <w:hideMark/>
          </w:tcPr>
          <w:p w14:paraId="41429471" w14:textId="5F3648B2" w:rsidR="00437AE9" w:rsidRPr="00000F1D" w:rsidRDefault="00437AE9" w:rsidP="00E20078">
            <w:pPr>
              <w:cnfStyle w:val="000000000000" w:firstRow="0" w:lastRow="0" w:firstColumn="0" w:lastColumn="0" w:oddVBand="0" w:evenVBand="0" w:oddHBand="0" w:evenHBand="0" w:firstRowFirstColumn="0" w:firstRowLastColumn="0" w:lastRowFirstColumn="0" w:lastRowLastColumn="0"/>
              <w:rPr>
                <w:color w:val="auto"/>
              </w:rPr>
            </w:pPr>
            <w:r w:rsidRPr="00000F1D">
              <w:rPr>
                <w:color w:val="auto"/>
                <w:sz w:val="22"/>
                <w:szCs w:val="22"/>
              </w:rPr>
              <w:t>Turns 5 between Sept</w:t>
            </w:r>
            <w:r w:rsidR="00694B6D">
              <w:rPr>
                <w:color w:val="auto"/>
              </w:rPr>
              <w:t>.</w:t>
            </w:r>
            <w:r w:rsidRPr="00000F1D">
              <w:rPr>
                <w:color w:val="auto"/>
                <w:sz w:val="22"/>
                <w:szCs w:val="22"/>
              </w:rPr>
              <w:t xml:space="preserve"> 2</w:t>
            </w:r>
            <w:r w:rsidR="00694B6D">
              <w:rPr>
                <w:color w:val="auto"/>
              </w:rPr>
              <w:t xml:space="preserve"> </w:t>
            </w:r>
            <w:r w:rsidRPr="00000F1D">
              <w:rPr>
                <w:color w:val="auto"/>
                <w:sz w:val="22"/>
                <w:szCs w:val="22"/>
              </w:rPr>
              <w:t>- Feb 2</w:t>
            </w:r>
          </w:p>
        </w:tc>
      </w:tr>
      <w:tr w:rsidR="0076066A" w:rsidRPr="0076066A" w14:paraId="41ACE1A8" w14:textId="77777777" w:rsidTr="00364B4D">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24" w:type="dxa"/>
            <w:hideMark/>
          </w:tcPr>
          <w:p w14:paraId="2DFEFDBF" w14:textId="539B292B" w:rsidR="00437AE9" w:rsidRPr="00000F1D" w:rsidRDefault="00437AE9" w:rsidP="00E20078">
            <w:pPr>
              <w:rPr>
                <w:b w:val="0"/>
                <w:bCs w:val="0"/>
                <w:color w:val="auto"/>
              </w:rPr>
            </w:pPr>
            <w:r w:rsidRPr="00000F1D">
              <w:rPr>
                <w:color w:val="auto"/>
                <w:sz w:val="22"/>
                <w:szCs w:val="22"/>
              </w:rPr>
              <w:t>2023</w:t>
            </w:r>
            <w:r w:rsidR="0067396A" w:rsidRPr="00000F1D">
              <w:rPr>
                <w:color w:val="auto"/>
              </w:rPr>
              <w:t>-</w:t>
            </w:r>
            <w:r w:rsidRPr="00000F1D">
              <w:rPr>
                <w:color w:val="auto"/>
                <w:sz w:val="22"/>
                <w:szCs w:val="22"/>
              </w:rPr>
              <w:t>24</w:t>
            </w:r>
          </w:p>
        </w:tc>
        <w:tc>
          <w:tcPr>
            <w:tcW w:w="4084" w:type="dxa"/>
            <w:hideMark/>
          </w:tcPr>
          <w:p w14:paraId="2A595F61" w14:textId="190F2A59" w:rsidR="00437AE9" w:rsidRPr="00000F1D" w:rsidRDefault="00437AE9" w:rsidP="00E20078">
            <w:pPr>
              <w:cnfStyle w:val="000000100000" w:firstRow="0" w:lastRow="0" w:firstColumn="0" w:lastColumn="0" w:oddVBand="0" w:evenVBand="0" w:oddHBand="1" w:evenHBand="0" w:firstRowFirstColumn="0" w:firstRowLastColumn="0" w:lastRowFirstColumn="0" w:lastRowLastColumn="0"/>
              <w:rPr>
                <w:color w:val="auto"/>
              </w:rPr>
            </w:pPr>
            <w:r w:rsidRPr="00000F1D">
              <w:rPr>
                <w:color w:val="auto"/>
                <w:sz w:val="22"/>
                <w:szCs w:val="22"/>
              </w:rPr>
              <w:t>Turns 5 between Sept</w:t>
            </w:r>
            <w:r w:rsidR="00694B6D">
              <w:rPr>
                <w:color w:val="auto"/>
              </w:rPr>
              <w:t>.</w:t>
            </w:r>
            <w:r w:rsidRPr="00000F1D">
              <w:rPr>
                <w:color w:val="auto"/>
                <w:sz w:val="22"/>
                <w:szCs w:val="22"/>
              </w:rPr>
              <w:t xml:space="preserve"> 2</w:t>
            </w:r>
            <w:r w:rsidR="00694B6D">
              <w:rPr>
                <w:color w:val="auto"/>
              </w:rPr>
              <w:t xml:space="preserve"> </w:t>
            </w:r>
            <w:r w:rsidRPr="00000F1D">
              <w:rPr>
                <w:color w:val="auto"/>
                <w:sz w:val="22"/>
                <w:szCs w:val="22"/>
              </w:rPr>
              <w:t>- April 2</w:t>
            </w:r>
          </w:p>
        </w:tc>
      </w:tr>
      <w:tr w:rsidR="0076066A" w:rsidRPr="0076066A" w14:paraId="0232DE08" w14:textId="77777777" w:rsidTr="00364B4D">
        <w:trPr>
          <w:trHeight w:val="257"/>
        </w:trPr>
        <w:tc>
          <w:tcPr>
            <w:cnfStyle w:val="001000000000" w:firstRow="0" w:lastRow="0" w:firstColumn="1" w:lastColumn="0" w:oddVBand="0" w:evenVBand="0" w:oddHBand="0" w:evenHBand="0" w:firstRowFirstColumn="0" w:firstRowLastColumn="0" w:lastRowFirstColumn="0" w:lastRowLastColumn="0"/>
            <w:tcW w:w="1324" w:type="dxa"/>
            <w:hideMark/>
          </w:tcPr>
          <w:p w14:paraId="2059C692" w14:textId="02873F86" w:rsidR="00437AE9" w:rsidRPr="00000F1D" w:rsidRDefault="00437AE9" w:rsidP="00E20078">
            <w:pPr>
              <w:rPr>
                <w:b w:val="0"/>
                <w:bCs w:val="0"/>
                <w:color w:val="auto"/>
              </w:rPr>
            </w:pPr>
            <w:r w:rsidRPr="00000F1D">
              <w:rPr>
                <w:color w:val="auto"/>
                <w:sz w:val="22"/>
                <w:szCs w:val="22"/>
              </w:rPr>
              <w:t>2024</w:t>
            </w:r>
            <w:r w:rsidR="0067396A" w:rsidRPr="00000F1D">
              <w:rPr>
                <w:color w:val="auto"/>
              </w:rPr>
              <w:t>-</w:t>
            </w:r>
            <w:r w:rsidRPr="00000F1D">
              <w:rPr>
                <w:color w:val="auto"/>
                <w:sz w:val="22"/>
                <w:szCs w:val="22"/>
              </w:rPr>
              <w:t>25</w:t>
            </w:r>
          </w:p>
        </w:tc>
        <w:tc>
          <w:tcPr>
            <w:tcW w:w="4084" w:type="dxa"/>
            <w:hideMark/>
          </w:tcPr>
          <w:p w14:paraId="2F238F07" w14:textId="2C07525F" w:rsidR="00437AE9" w:rsidRPr="00000F1D" w:rsidRDefault="00437AE9" w:rsidP="00E20078">
            <w:pPr>
              <w:cnfStyle w:val="000000000000" w:firstRow="0" w:lastRow="0" w:firstColumn="0" w:lastColumn="0" w:oddVBand="0" w:evenVBand="0" w:oddHBand="0" w:evenHBand="0" w:firstRowFirstColumn="0" w:firstRowLastColumn="0" w:lastRowFirstColumn="0" w:lastRowLastColumn="0"/>
              <w:rPr>
                <w:color w:val="auto"/>
              </w:rPr>
            </w:pPr>
            <w:r w:rsidRPr="00000F1D">
              <w:rPr>
                <w:color w:val="auto"/>
                <w:sz w:val="22"/>
                <w:szCs w:val="22"/>
              </w:rPr>
              <w:t>Turns 5 between Sept</w:t>
            </w:r>
            <w:r w:rsidR="00694B6D">
              <w:rPr>
                <w:color w:val="auto"/>
              </w:rPr>
              <w:t>.</w:t>
            </w:r>
            <w:r w:rsidRPr="00000F1D">
              <w:rPr>
                <w:color w:val="auto"/>
                <w:sz w:val="22"/>
                <w:szCs w:val="22"/>
              </w:rPr>
              <w:t xml:space="preserve"> 2</w:t>
            </w:r>
            <w:r w:rsidR="00694B6D">
              <w:rPr>
                <w:color w:val="auto"/>
              </w:rPr>
              <w:t xml:space="preserve"> </w:t>
            </w:r>
            <w:r w:rsidRPr="00000F1D">
              <w:rPr>
                <w:color w:val="auto"/>
                <w:sz w:val="22"/>
                <w:szCs w:val="22"/>
              </w:rPr>
              <w:t>- June 2 </w:t>
            </w:r>
          </w:p>
        </w:tc>
      </w:tr>
      <w:tr w:rsidR="0076066A" w:rsidRPr="0076066A" w14:paraId="2B418E17" w14:textId="77777777" w:rsidTr="00364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24" w:type="dxa"/>
            <w:hideMark/>
          </w:tcPr>
          <w:p w14:paraId="747C8E41" w14:textId="199CB68C" w:rsidR="00437AE9" w:rsidRPr="00000F1D" w:rsidRDefault="00437AE9" w:rsidP="00E20078">
            <w:pPr>
              <w:rPr>
                <w:b w:val="0"/>
                <w:bCs w:val="0"/>
                <w:color w:val="auto"/>
              </w:rPr>
            </w:pPr>
            <w:r w:rsidRPr="00000F1D">
              <w:rPr>
                <w:color w:val="auto"/>
                <w:sz w:val="22"/>
                <w:szCs w:val="22"/>
              </w:rPr>
              <w:t>2025</w:t>
            </w:r>
            <w:r w:rsidR="0067396A" w:rsidRPr="00000F1D">
              <w:rPr>
                <w:color w:val="auto"/>
              </w:rPr>
              <w:t>-</w:t>
            </w:r>
            <w:r w:rsidRPr="00000F1D">
              <w:rPr>
                <w:color w:val="auto"/>
                <w:sz w:val="22"/>
                <w:szCs w:val="22"/>
              </w:rPr>
              <w:t>26</w:t>
            </w:r>
          </w:p>
        </w:tc>
        <w:tc>
          <w:tcPr>
            <w:tcW w:w="4084" w:type="dxa"/>
            <w:hideMark/>
          </w:tcPr>
          <w:p w14:paraId="696A3A0A" w14:textId="46D9F428" w:rsidR="00437AE9" w:rsidRPr="00000F1D" w:rsidRDefault="00437AE9" w:rsidP="00E20078">
            <w:pPr>
              <w:cnfStyle w:val="000000100000" w:firstRow="0" w:lastRow="0" w:firstColumn="0" w:lastColumn="0" w:oddVBand="0" w:evenVBand="0" w:oddHBand="1" w:evenHBand="0" w:firstRowFirstColumn="0" w:firstRowLastColumn="0" w:lastRowFirstColumn="0" w:lastRowLastColumn="0"/>
              <w:rPr>
                <w:color w:val="auto"/>
              </w:rPr>
            </w:pPr>
            <w:r w:rsidRPr="00000F1D">
              <w:rPr>
                <w:color w:val="auto"/>
                <w:sz w:val="22"/>
                <w:szCs w:val="22"/>
              </w:rPr>
              <w:t>Turns 4 by Sept</w:t>
            </w:r>
            <w:r w:rsidR="00694B6D">
              <w:rPr>
                <w:color w:val="auto"/>
              </w:rPr>
              <w:t>.</w:t>
            </w:r>
            <w:r w:rsidRPr="00000F1D">
              <w:rPr>
                <w:color w:val="auto"/>
                <w:sz w:val="22"/>
                <w:szCs w:val="22"/>
              </w:rPr>
              <w:t xml:space="preserve"> 1</w:t>
            </w:r>
          </w:p>
        </w:tc>
      </w:tr>
    </w:tbl>
    <w:p w14:paraId="0CF4D6E2" w14:textId="10DA6DAB" w:rsidR="00437AE9" w:rsidRPr="00BD5994" w:rsidRDefault="00437AE9" w:rsidP="00437AE9">
      <w:pPr>
        <w:pStyle w:val="Body"/>
      </w:pPr>
      <w:r w:rsidRPr="00BD5994">
        <w:t>Costs of this plan will be funded in 2022-23 at $900 million</w:t>
      </w:r>
      <w:r w:rsidR="00694B6D">
        <w:t>,</w:t>
      </w:r>
      <w:r w:rsidRPr="00BD5994">
        <w:t xml:space="preserve"> growing to $2.7 billion at full implementation. (The Prop. 98 </w:t>
      </w:r>
      <w:proofErr w:type="gramStart"/>
      <w:r w:rsidRPr="00BD5994">
        <w:t>guarantee</w:t>
      </w:r>
      <w:proofErr w:type="gramEnd"/>
      <w:r w:rsidRPr="00BD5994">
        <w:t xml:space="preserve"> would be </w:t>
      </w:r>
      <w:proofErr w:type="spellStart"/>
      <w:r w:rsidRPr="00BD5994">
        <w:t>rebenched</w:t>
      </w:r>
      <w:proofErr w:type="spellEnd"/>
      <w:r w:rsidRPr="00BD5994">
        <w:t xml:space="preserve"> to draw down general fund for the costs of new enrollment in each year of increased investment.)</w:t>
      </w:r>
    </w:p>
    <w:p w14:paraId="27E45D5E" w14:textId="4A2C9CFC" w:rsidR="00437AE9" w:rsidRPr="00BD5994" w:rsidRDefault="00437AE9" w:rsidP="00437AE9">
      <w:pPr>
        <w:pStyle w:val="Body"/>
      </w:pPr>
      <w:r w:rsidRPr="00BD5994">
        <w:t>The 2021-22 one-time funding allocates $</w:t>
      </w:r>
      <w:r w:rsidR="00866EB1">
        <w:t>3</w:t>
      </w:r>
      <w:r w:rsidRPr="00BD5994">
        <w:t>00</w:t>
      </w:r>
      <w:r w:rsidR="00CB761C">
        <w:t xml:space="preserve"> </w:t>
      </w:r>
      <w:r w:rsidRPr="00BD5994">
        <w:t>million</w:t>
      </w:r>
      <w:r w:rsidR="00866EB1">
        <w:t xml:space="preserve"> </w:t>
      </w:r>
      <w:r w:rsidR="0067396A">
        <w:t xml:space="preserve">in </w:t>
      </w:r>
      <w:r w:rsidR="00866EB1">
        <w:t xml:space="preserve">Prop. 98 general </w:t>
      </w:r>
      <w:proofErr w:type="gramStart"/>
      <w:r w:rsidR="00866EB1">
        <w:t>fund</w:t>
      </w:r>
      <w:proofErr w:type="gramEnd"/>
      <w:r w:rsidRPr="00BD5994">
        <w:t xml:space="preserve"> for LEAs to create or expand TK programs. Allowable uses of these funds include costs for planning, hiring, training, classroom materials, and supplies. </w:t>
      </w:r>
      <w:r w:rsidR="00F20C80">
        <w:t xml:space="preserve">A minimum of $100,000 will be </w:t>
      </w:r>
      <w:r w:rsidRPr="00BD5994">
        <w:t xml:space="preserve">awarded to LEAs </w:t>
      </w:r>
      <w:r w:rsidR="00F20C80">
        <w:t>operating kindergarten programs and a minimum allocation to COEs based on funding allocated to LEAs in their county.</w:t>
      </w:r>
      <w:r w:rsidR="00174D21">
        <w:t xml:space="preserve"> </w:t>
      </w:r>
      <w:r w:rsidR="00F20C80">
        <w:t>After the minimum allocations</w:t>
      </w:r>
      <w:r w:rsidR="0067396A">
        <w:t>,</w:t>
      </w:r>
      <w:r w:rsidR="00F20C80">
        <w:t xml:space="preserve"> the amount remaining from the $200 million will be allocated </w:t>
      </w:r>
      <w:r w:rsidRPr="00BD5994">
        <w:t xml:space="preserve">based on </w:t>
      </w:r>
      <w:r w:rsidR="00F20C80">
        <w:t xml:space="preserve">2019-20 </w:t>
      </w:r>
      <w:r w:rsidRPr="00BD5994">
        <w:t>kindergarten</w:t>
      </w:r>
      <w:r w:rsidR="00F20C80">
        <w:t xml:space="preserve"> enrollment and the LEA’s unduplicated pupil percentage</w:t>
      </w:r>
      <w:r w:rsidRPr="00BD5994">
        <w:t>.</w:t>
      </w:r>
      <w:r w:rsidR="00174D21">
        <w:t xml:space="preserve"> </w:t>
      </w:r>
      <w:r w:rsidRPr="00BD5994">
        <w:t xml:space="preserve">$100 million in one-time funding </w:t>
      </w:r>
      <w:r w:rsidR="0067396A">
        <w:t xml:space="preserve">will be allocated </w:t>
      </w:r>
      <w:r w:rsidRPr="00BD5994">
        <w:t>for competitive grants to increase the number of highly</w:t>
      </w:r>
      <w:r w:rsidR="00694B6D">
        <w:t xml:space="preserve"> </w:t>
      </w:r>
      <w:r w:rsidRPr="00BD5994">
        <w:t xml:space="preserve">qualified preschool and TK teachers, as well as provide professional development for preschool, TK and </w:t>
      </w:r>
      <w:r w:rsidR="00694B6D">
        <w:t>k</w:t>
      </w:r>
      <w:r w:rsidRPr="00BD5994">
        <w:t>indergarten teachers.</w:t>
      </w:r>
    </w:p>
    <w:p w14:paraId="7EDE9AA3" w14:textId="2C8F5826" w:rsidR="00437AE9" w:rsidRPr="00BF019B" w:rsidRDefault="00437AE9" w:rsidP="00BF019B">
      <w:pPr>
        <w:pStyle w:val="Body"/>
      </w:pPr>
      <w:r w:rsidRPr="00BF019B">
        <w:lastRenderedPageBreak/>
        <w:t>In addition, the Kindergarten Facilities Grant Program has been expanded to $490 million and include</w:t>
      </w:r>
      <w:r w:rsidR="0067396A" w:rsidRPr="00BF019B">
        <w:t>s</w:t>
      </w:r>
      <w:r w:rsidRPr="00BF019B">
        <w:t xml:space="preserve"> transitional kindergarten to accommodate the additional capacity needed to offer or expand enrollment in a TK program. As a condition of receipt of funds, an applicant school district must pass a resolution at a public governing board meeting stating the district’s intent to offer or expand enrollment in a TK program. </w:t>
      </w:r>
    </w:p>
    <w:p w14:paraId="5D35A27E" w14:textId="50A1BA7A" w:rsidR="00BF019B" w:rsidRPr="00000F1D" w:rsidRDefault="00437AE9" w:rsidP="00000F1D">
      <w:pPr>
        <w:pStyle w:val="Body"/>
      </w:pPr>
      <w:r w:rsidRPr="00000F1D">
        <w:t xml:space="preserve">The </w:t>
      </w:r>
      <w:r w:rsidR="00353C80" w:rsidRPr="00000F1D">
        <w:t>b</w:t>
      </w:r>
      <w:r w:rsidRPr="00000F1D">
        <w:t xml:space="preserve">udget includes parent choice language ensuring that parents with TK eligible children can instead choose another </w:t>
      </w:r>
      <w:r w:rsidR="00694B6D">
        <w:t>early learning and care (</w:t>
      </w:r>
      <w:r w:rsidRPr="00000F1D">
        <w:t>ELC</w:t>
      </w:r>
      <w:r w:rsidR="00694B6D">
        <w:t>)</w:t>
      </w:r>
      <w:r w:rsidRPr="00000F1D">
        <w:t xml:space="preserve"> program, including preschool or Head Start.</w:t>
      </w:r>
    </w:p>
    <w:p w14:paraId="61A40EDF" w14:textId="584D4BAC" w:rsidR="00437AE9" w:rsidRPr="00000F1D" w:rsidRDefault="00353C80" w:rsidP="00000F1D">
      <w:pPr>
        <w:pStyle w:val="Body"/>
      </w:pPr>
      <w:r w:rsidRPr="00000F1D">
        <w:t>B</w:t>
      </w:r>
      <w:r w:rsidR="00437AE9" w:rsidRPr="00000F1D">
        <w:t>udget language stat</w:t>
      </w:r>
      <w:r w:rsidRPr="00000F1D">
        <w:t>es</w:t>
      </w:r>
      <w:r w:rsidR="00437AE9" w:rsidRPr="00000F1D">
        <w:t xml:space="preserve"> that the </w:t>
      </w:r>
      <w:r w:rsidR="0067396A" w:rsidRPr="00000F1D">
        <w:t>s</w:t>
      </w:r>
      <w:r w:rsidR="00437AE9" w:rsidRPr="00000F1D">
        <w:t>uperintendent shall authorize a preschool program to offer wraparound child</w:t>
      </w:r>
      <w:r w:rsidR="0067396A" w:rsidRPr="00000F1D">
        <w:t xml:space="preserve"> </w:t>
      </w:r>
      <w:r w:rsidR="00437AE9" w:rsidRPr="00000F1D">
        <w:t>care to children enrolled in TK, K, or grades 1 to 12 if the family is income eligible.</w:t>
      </w:r>
    </w:p>
    <w:p w14:paraId="6DDB7E4A" w14:textId="3A12E766" w:rsidR="00437AE9" w:rsidRPr="00BD5994" w:rsidRDefault="00866EB1" w:rsidP="00437AE9">
      <w:pPr>
        <w:pStyle w:val="Body"/>
      </w:pPr>
      <w:r>
        <w:t>AB 130 includes language related to TK classroom ratios as a condition of apportionment.</w:t>
      </w:r>
      <w:r w:rsidR="00174D21">
        <w:t xml:space="preserve"> </w:t>
      </w:r>
      <w:r>
        <w:t>School districts and charter schools are required to maintain an average TK class enrollment of 24:1 at each school</w:t>
      </w:r>
      <w:r w:rsidR="00353C80">
        <w:t xml:space="preserve"> </w:t>
      </w:r>
      <w:r>
        <w:t>site</w:t>
      </w:r>
      <w:r w:rsidR="0067396A">
        <w:t>;</w:t>
      </w:r>
      <w:r w:rsidR="00174D21">
        <w:t xml:space="preserve"> </w:t>
      </w:r>
      <w:r w:rsidR="00437AE9" w:rsidRPr="00BD5994">
        <w:t>in 2022-23</w:t>
      </w:r>
      <w:r>
        <w:t xml:space="preserve"> this ratio reduces</w:t>
      </w:r>
      <w:r w:rsidR="00437AE9" w:rsidRPr="00BD5994">
        <w:t xml:space="preserve"> to 1:12 and in 2023-24 to 1:10. </w:t>
      </w:r>
      <w:r>
        <w:t>AB 130 also d</w:t>
      </w:r>
      <w:r w:rsidR="00437AE9" w:rsidRPr="00BD5994">
        <w:t>elays the ECE unit requirement for TK teachers to August 2023.</w:t>
      </w:r>
    </w:p>
    <w:p w14:paraId="1888D1B3" w14:textId="77777777" w:rsidR="00437AE9" w:rsidRPr="00BD5994" w:rsidRDefault="00437AE9" w:rsidP="00437AE9">
      <w:pPr>
        <w:pStyle w:val="Body"/>
      </w:pPr>
      <w:r w:rsidRPr="00BD5994">
        <w:t>$10 million one-time general fund is provided for the CDE to update the Preschool Learning Foundations, the recommended learning standards for preschool and TK, to reflect the most recent research on early childhood development and provide comprehensive resources for pre-kindergarten teachers.</w:t>
      </w:r>
    </w:p>
    <w:p w14:paraId="53E17A65" w14:textId="77777777" w:rsidR="00437AE9" w:rsidRPr="002E4A5D" w:rsidRDefault="00437AE9" w:rsidP="00000F1D">
      <w:pPr>
        <w:pStyle w:val="Body"/>
        <w:rPr>
          <w:bCs/>
        </w:rPr>
      </w:pPr>
      <w:r w:rsidRPr="00000F1D">
        <w:rPr>
          <w:b/>
          <w:bCs/>
        </w:rPr>
        <w:t>CA State Preschool Program (CSPP)</w:t>
      </w:r>
    </w:p>
    <w:p w14:paraId="0C2161A4" w14:textId="6C6B1F57" w:rsidR="00437AE9" w:rsidRPr="00FC6A13" w:rsidRDefault="00437AE9" w:rsidP="00000F1D">
      <w:pPr>
        <w:pStyle w:val="Body"/>
      </w:pPr>
      <w:r w:rsidRPr="00353C80">
        <w:t xml:space="preserve">The </w:t>
      </w:r>
      <w:r w:rsidR="00353C80">
        <w:t>b</w:t>
      </w:r>
      <w:r w:rsidRPr="00353C80">
        <w:t xml:space="preserve">udget maintains the level of funding available for the State Preschool Program. The </w:t>
      </w:r>
      <w:r w:rsidR="0067396A">
        <w:t>a</w:t>
      </w:r>
      <w:r w:rsidRPr="00353C80">
        <w:t>dministration will develop a comprehensive plan for implementation in 2022-23 to support existing State Preschool Program providers to maintain their contracts while transitioning to serve younger</w:t>
      </w:r>
      <w:r w:rsidRPr="003C0D17">
        <w:t xml:space="preserve"> children, in alignment with the Master Plan for Early Learning and Care, to ensure all eligible 3-year-olds have access to high-quality early learning.</w:t>
      </w:r>
      <w:r w:rsidR="00174D21" w:rsidRPr="008F1E58">
        <w:t xml:space="preserve"> </w:t>
      </w:r>
      <w:r w:rsidR="00FC6A13">
        <w:t>E</w:t>
      </w:r>
      <w:r w:rsidRPr="00FC6A13">
        <w:t>ligibility of 4-year-olds in CSPP includes UTK eligible children whose 5</w:t>
      </w:r>
      <w:r w:rsidRPr="00000F1D">
        <w:t>th</w:t>
      </w:r>
      <w:r w:rsidRPr="00353C80">
        <w:t xml:space="preserve"> birthday occu</w:t>
      </w:r>
      <w:r w:rsidRPr="003C0D17">
        <w:t xml:space="preserve">rs after </w:t>
      </w:r>
      <w:r w:rsidR="00CB761C" w:rsidRPr="003C0D17">
        <w:t>September 1</w:t>
      </w:r>
      <w:r w:rsidRPr="00656B05">
        <w:t xml:space="preserve"> of the fiscal year during which they are enrolled in CSPP and whose parent/guardian has chosen to enroll them in CSPP.</w:t>
      </w:r>
    </w:p>
    <w:p w14:paraId="77AB8819" w14:textId="5EC36D47" w:rsidR="00437AE9" w:rsidRPr="0014089E" w:rsidRDefault="00437AE9" w:rsidP="00000F1D">
      <w:pPr>
        <w:pStyle w:val="Body"/>
        <w:rPr>
          <w:u w:val="single"/>
        </w:rPr>
      </w:pPr>
      <w:r w:rsidRPr="0014089E">
        <w:rPr>
          <w:b/>
          <w:u w:val="single"/>
        </w:rPr>
        <w:t>Early Childhood Education</w:t>
      </w:r>
      <w:r w:rsidR="0014089E" w:rsidRPr="0014089E">
        <w:rPr>
          <w:b/>
          <w:u w:val="single"/>
        </w:rPr>
        <w:t xml:space="preserve"> &amp; AB131</w:t>
      </w:r>
      <w:r w:rsidRPr="0014089E">
        <w:rPr>
          <w:u w:val="single"/>
        </w:rPr>
        <w:t xml:space="preserve"> </w:t>
      </w:r>
    </w:p>
    <w:p w14:paraId="0A9117C7" w14:textId="77777777" w:rsidR="00437AE9" w:rsidRPr="00000F1D" w:rsidRDefault="00437AE9" w:rsidP="00000F1D">
      <w:pPr>
        <w:pStyle w:val="Body"/>
        <w:rPr>
          <w:b/>
          <w:bCs/>
        </w:rPr>
      </w:pPr>
      <w:r w:rsidRPr="00000F1D">
        <w:rPr>
          <w:b/>
          <w:bCs/>
        </w:rPr>
        <w:t>Reimbursement Rate Reform</w:t>
      </w:r>
    </w:p>
    <w:p w14:paraId="7B49E7F5" w14:textId="77777777" w:rsidR="00437AE9" w:rsidRPr="00353C80" w:rsidRDefault="00437AE9" w:rsidP="00000F1D">
      <w:pPr>
        <w:pStyle w:val="Body"/>
      </w:pPr>
      <w:r w:rsidRPr="00353C80">
        <w:t>Standard Reimbursement Rate</w:t>
      </w:r>
    </w:p>
    <w:p w14:paraId="5D54AAD2" w14:textId="2BB66116" w:rsidR="00437AE9" w:rsidRPr="00353C80" w:rsidRDefault="00437AE9" w:rsidP="00000F1D">
      <w:pPr>
        <w:pStyle w:val="Bullet"/>
      </w:pPr>
      <w:r w:rsidRPr="00353C80">
        <w:t xml:space="preserve">Revises SRR effective </w:t>
      </w:r>
      <w:r w:rsidR="00CB761C" w:rsidRPr="00353C80">
        <w:t>July 1, 2021</w:t>
      </w:r>
      <w:r w:rsidRPr="00353C80">
        <w:t xml:space="preserve"> to reflect COLA</w:t>
      </w:r>
    </w:p>
    <w:p w14:paraId="142A2E35" w14:textId="0EB7483C" w:rsidR="00437AE9" w:rsidRPr="0067396A" w:rsidRDefault="00437AE9" w:rsidP="00000F1D">
      <w:pPr>
        <w:pStyle w:val="Bullet"/>
      </w:pPr>
      <w:r w:rsidRPr="00656B05">
        <w:t>Establishes SRR for part-day CSPP</w:t>
      </w:r>
    </w:p>
    <w:p w14:paraId="4D11A9BC" w14:textId="285AE4F7" w:rsidR="00437AE9" w:rsidRPr="00FC6A13" w:rsidRDefault="00437AE9" w:rsidP="00000F1D">
      <w:pPr>
        <w:pStyle w:val="Bullet"/>
      </w:pPr>
      <w:r w:rsidRPr="008F1E58">
        <w:t xml:space="preserve">Requires SRR contractors effective </w:t>
      </w:r>
      <w:r w:rsidR="00CB761C" w:rsidRPr="008F1E58">
        <w:t xml:space="preserve">January 1, 2022 </w:t>
      </w:r>
      <w:r w:rsidRPr="008F1E58">
        <w:t>to be reimbursed at the greater of the 75</w:t>
      </w:r>
      <w:r w:rsidRPr="00000F1D">
        <w:t>th</w:t>
      </w:r>
      <w:r w:rsidRPr="00353C80">
        <w:t xml:space="preserve"> percentile of the 2018 </w:t>
      </w:r>
      <w:r w:rsidR="00FC6A13">
        <w:t>regional market rate (</w:t>
      </w:r>
      <w:r w:rsidRPr="00353C80">
        <w:t>RMR</w:t>
      </w:r>
      <w:r w:rsidR="00FC6A13">
        <w:t>)</w:t>
      </w:r>
      <w:r w:rsidRPr="00353C80">
        <w:t xml:space="preserve"> or th</w:t>
      </w:r>
      <w:r w:rsidRPr="003C0D17">
        <w:t xml:space="preserve">e contract per-child reimbursement as of </w:t>
      </w:r>
      <w:r w:rsidR="00CB761C" w:rsidRPr="00656B05">
        <w:t>December 31, 2021</w:t>
      </w:r>
    </w:p>
    <w:p w14:paraId="1897E966" w14:textId="2379C51B" w:rsidR="000C5465" w:rsidRPr="00000F1D" w:rsidRDefault="00437AE9" w:rsidP="00000F1D">
      <w:pPr>
        <w:pStyle w:val="Body"/>
        <w:rPr>
          <w:b/>
          <w:bCs/>
        </w:rPr>
      </w:pPr>
      <w:r w:rsidRPr="00000F1D">
        <w:rPr>
          <w:b/>
          <w:bCs/>
        </w:rPr>
        <w:t>Regional Market Rate (RMR)</w:t>
      </w:r>
      <w:r w:rsidR="000C5465" w:rsidRPr="00000F1D">
        <w:rPr>
          <w:b/>
          <w:bCs/>
        </w:rPr>
        <w:t xml:space="preserve"> </w:t>
      </w:r>
    </w:p>
    <w:p w14:paraId="39A96ECF" w14:textId="44D8B6E6" w:rsidR="00437AE9" w:rsidRPr="00000F1D" w:rsidRDefault="00E55D0B" w:rsidP="00437AE9">
      <w:pPr>
        <w:rPr>
          <w:rFonts w:ascii="Times New Roman" w:hAnsi="Times New Roman" w:cs="Times New Roman"/>
          <w:sz w:val="24"/>
          <w:szCs w:val="24"/>
        </w:rPr>
      </w:pPr>
      <w:hyperlink r:id="rId11" w:history="1">
        <w:r w:rsidR="000C5465" w:rsidRPr="00000F1D">
          <w:rPr>
            <w:rStyle w:val="Hyperlink"/>
            <w:rFonts w:ascii="Times New Roman" w:hAnsi="Times New Roman" w:cs="Times New Roman"/>
            <w:sz w:val="24"/>
            <w:szCs w:val="24"/>
          </w:rPr>
          <w:t>https://rcscc.adm.dss.ca.gov/</w:t>
        </w:r>
      </w:hyperlink>
      <w:r w:rsidR="00174D21" w:rsidRPr="00000F1D">
        <w:rPr>
          <w:rFonts w:ascii="Times New Roman" w:hAnsi="Times New Roman" w:cs="Times New Roman"/>
          <w:sz w:val="24"/>
          <w:szCs w:val="24"/>
        </w:rPr>
        <w:t xml:space="preserve"> </w:t>
      </w:r>
      <w:bookmarkStart w:id="79" w:name="_GoBack"/>
      <w:bookmarkEnd w:id="79"/>
    </w:p>
    <w:p w14:paraId="340CC90D" w14:textId="1383ED0F" w:rsidR="00437AE9" w:rsidRPr="00FC6A13" w:rsidRDefault="00437AE9" w:rsidP="00631AE7">
      <w:pPr>
        <w:pStyle w:val="Body"/>
        <w:numPr>
          <w:ilvl w:val="0"/>
          <w:numId w:val="36"/>
        </w:numPr>
      </w:pPr>
      <w:r w:rsidRPr="00353C80">
        <w:t xml:space="preserve">Effective </w:t>
      </w:r>
      <w:r w:rsidR="00CB761C" w:rsidRPr="00353C80">
        <w:t xml:space="preserve">January 1, 2022 </w:t>
      </w:r>
      <w:r w:rsidRPr="00353C80">
        <w:t>the RMR ceiling is at the greater of the 75</w:t>
      </w:r>
      <w:r w:rsidRPr="00000F1D">
        <w:t>th</w:t>
      </w:r>
      <w:r w:rsidRPr="00353C80">
        <w:t xml:space="preserve"> percentile of </w:t>
      </w:r>
      <w:r w:rsidR="00FC6A13">
        <w:t xml:space="preserve">the </w:t>
      </w:r>
      <w:r w:rsidRPr="00353C80">
        <w:t xml:space="preserve">2018 RMR survey for that region or the RMR ceiling that existed in that region on </w:t>
      </w:r>
      <w:r w:rsidR="00CB761C" w:rsidRPr="00656B05">
        <w:t>December 31, 2021</w:t>
      </w:r>
      <w:r w:rsidRPr="0067396A">
        <w:t>.</w:t>
      </w:r>
    </w:p>
    <w:p w14:paraId="6989C6FF" w14:textId="68B46F4E" w:rsidR="00437AE9" w:rsidRPr="00FC6A13" w:rsidRDefault="00437AE9" w:rsidP="00631AE7">
      <w:pPr>
        <w:pStyle w:val="Body"/>
        <w:numPr>
          <w:ilvl w:val="0"/>
          <w:numId w:val="36"/>
        </w:numPr>
      </w:pPr>
      <w:r w:rsidRPr="00FC6A13">
        <w:t xml:space="preserve">Effective </w:t>
      </w:r>
      <w:r w:rsidR="00CB761C" w:rsidRPr="00FC6A13">
        <w:t>January 1, 2022</w:t>
      </w:r>
      <w:r w:rsidR="00FC6A13">
        <w:t>,</w:t>
      </w:r>
      <w:r w:rsidRPr="00FC6A13">
        <w:t xml:space="preserve"> reimbursement to license-exempt providers </w:t>
      </w:r>
      <w:r w:rsidR="00FC6A13">
        <w:t>will</w:t>
      </w:r>
      <w:r w:rsidR="00FC6A13" w:rsidRPr="00FC6A13">
        <w:t xml:space="preserve"> </w:t>
      </w:r>
      <w:r w:rsidRPr="00FC6A13">
        <w:t xml:space="preserve">be 70% of the commensurate </w:t>
      </w:r>
      <w:r w:rsidR="0014089E">
        <w:t>Regional Market Rate (</w:t>
      </w:r>
      <w:r w:rsidRPr="00FC6A13">
        <w:t>RMR</w:t>
      </w:r>
      <w:r w:rsidR="0014089E">
        <w:t>)</w:t>
      </w:r>
      <w:r w:rsidRPr="00FC6A13">
        <w:t>.</w:t>
      </w:r>
    </w:p>
    <w:p w14:paraId="65A40538" w14:textId="10FEADB7" w:rsidR="00437AE9" w:rsidRPr="00FC6A13" w:rsidRDefault="00437AE9" w:rsidP="00631AE7">
      <w:pPr>
        <w:pStyle w:val="Body"/>
        <w:numPr>
          <w:ilvl w:val="0"/>
          <w:numId w:val="36"/>
        </w:numPr>
      </w:pPr>
      <w:r w:rsidRPr="008F1E58">
        <w:t xml:space="preserve">Certain reimbursement and adjustment factors </w:t>
      </w:r>
      <w:r w:rsidR="00FC6A13">
        <w:t xml:space="preserve">are </w:t>
      </w:r>
      <w:r w:rsidRPr="00FC6A13">
        <w:t xml:space="preserve">applicable only prior to </w:t>
      </w:r>
      <w:r w:rsidR="00CB761C" w:rsidRPr="00FC6A13">
        <w:t>January 1, 2022</w:t>
      </w:r>
      <w:r w:rsidRPr="00FC6A13">
        <w:t>.</w:t>
      </w:r>
    </w:p>
    <w:p w14:paraId="6069145A" w14:textId="66D5B821" w:rsidR="00437AE9" w:rsidRPr="00FC6A13" w:rsidRDefault="00FC6A13" w:rsidP="00631AE7">
      <w:pPr>
        <w:pStyle w:val="Body"/>
        <w:numPr>
          <w:ilvl w:val="0"/>
          <w:numId w:val="36"/>
        </w:numPr>
      </w:pPr>
      <w:r>
        <w:t>L</w:t>
      </w:r>
      <w:r w:rsidR="00437AE9" w:rsidRPr="00FC6A13">
        <w:t xml:space="preserve">icensed providers </w:t>
      </w:r>
      <w:r>
        <w:t>may</w:t>
      </w:r>
      <w:r w:rsidRPr="00FC6A13">
        <w:t xml:space="preserve"> </w:t>
      </w:r>
      <w:r w:rsidR="00437AE9" w:rsidRPr="00FC6A13">
        <w:t xml:space="preserve">alter rate levels for subsidized children as needed. </w:t>
      </w:r>
      <w:r>
        <w:t>U</w:t>
      </w:r>
      <w:r w:rsidR="00437AE9" w:rsidRPr="00FC6A13">
        <w:t xml:space="preserve">pdated rates </w:t>
      </w:r>
      <w:r>
        <w:t xml:space="preserve">are required </w:t>
      </w:r>
      <w:r w:rsidR="00437AE9" w:rsidRPr="00FC6A13">
        <w:t xml:space="preserve">to be effective within 60 days of submission of information to the </w:t>
      </w:r>
      <w:r w:rsidR="0014089E">
        <w:t>Alternative Payment Plan (</w:t>
      </w:r>
      <w:r w:rsidR="00437AE9" w:rsidRPr="00FC6A13">
        <w:t>APP</w:t>
      </w:r>
      <w:r w:rsidR="0014089E">
        <w:t>)</w:t>
      </w:r>
      <w:r w:rsidR="00437AE9" w:rsidRPr="00FC6A13">
        <w:t>.</w:t>
      </w:r>
    </w:p>
    <w:p w14:paraId="3A3EA6D3" w14:textId="1801E5B0" w:rsidR="00437AE9" w:rsidRPr="00FC6A13" w:rsidRDefault="00FC6A13" w:rsidP="00631AE7">
      <w:pPr>
        <w:pStyle w:val="Body"/>
        <w:numPr>
          <w:ilvl w:val="0"/>
          <w:numId w:val="36"/>
        </w:numPr>
      </w:pPr>
      <w:r>
        <w:t>Child Care Providers United (</w:t>
      </w:r>
      <w:r w:rsidR="00437AE9" w:rsidRPr="00FC6A13">
        <w:t>CCPU</w:t>
      </w:r>
      <w:r>
        <w:t xml:space="preserve">) </w:t>
      </w:r>
      <w:r w:rsidR="008F1E58">
        <w:t>is</w:t>
      </w:r>
      <w:r>
        <w:t xml:space="preserve"> required</w:t>
      </w:r>
      <w:r w:rsidR="00437AE9" w:rsidRPr="00FC6A13">
        <w:t xml:space="preserve"> to establish a Joint Labor Management Committee</w:t>
      </w:r>
      <w:r w:rsidR="00CB761C" w:rsidRPr="00FC6A13">
        <w:t xml:space="preserve"> (JLMC)</w:t>
      </w:r>
      <w:r w:rsidR="00437AE9" w:rsidRPr="00FC6A13">
        <w:t xml:space="preserve"> to develop recommendations for a single rate structure with specified characteristics. </w:t>
      </w:r>
      <w:r w:rsidR="00E80F68">
        <w:t xml:space="preserve">The </w:t>
      </w:r>
      <w:r w:rsidR="00437AE9" w:rsidRPr="00FC6A13">
        <w:t xml:space="preserve">JLMC </w:t>
      </w:r>
      <w:r w:rsidR="008F1E58">
        <w:t>must</w:t>
      </w:r>
      <w:r w:rsidR="008F1E58" w:rsidRPr="00FC6A13">
        <w:t xml:space="preserve"> </w:t>
      </w:r>
      <w:r w:rsidR="00437AE9" w:rsidRPr="00FC6A13">
        <w:t xml:space="preserve">present recommendations to </w:t>
      </w:r>
      <w:r w:rsidR="00E80F68">
        <w:t xml:space="preserve">the </w:t>
      </w:r>
      <w:r w:rsidR="00437AE9" w:rsidRPr="00FC6A13">
        <w:t xml:space="preserve">DOF by </w:t>
      </w:r>
      <w:r w:rsidR="00CB761C" w:rsidRPr="00FC6A13">
        <w:t>November 15, 2022</w:t>
      </w:r>
      <w:r w:rsidR="00437AE9" w:rsidRPr="00FC6A13">
        <w:t xml:space="preserve">. </w:t>
      </w:r>
      <w:r w:rsidR="00E80F68">
        <w:t>The California Department of Social Services (</w:t>
      </w:r>
      <w:r w:rsidR="00437AE9" w:rsidRPr="00FC6A13">
        <w:t>CDSS</w:t>
      </w:r>
      <w:r w:rsidR="00E80F68">
        <w:t>) is authorized</w:t>
      </w:r>
      <w:r w:rsidR="00437AE9" w:rsidRPr="00FC6A13">
        <w:t xml:space="preserve"> to allocate up to $20</w:t>
      </w:r>
      <w:r w:rsidR="00CB761C" w:rsidRPr="00FC6A13">
        <w:t xml:space="preserve"> million</w:t>
      </w:r>
      <w:r w:rsidR="00437AE9" w:rsidRPr="00FC6A13">
        <w:t xml:space="preserve"> (previously appropriated) for the JLMC.</w:t>
      </w:r>
    </w:p>
    <w:p w14:paraId="1092B63C" w14:textId="38894734" w:rsidR="00437AE9" w:rsidRPr="008F1E58" w:rsidRDefault="00E80F68" w:rsidP="00631AE7">
      <w:pPr>
        <w:pStyle w:val="Body"/>
        <w:numPr>
          <w:ilvl w:val="0"/>
          <w:numId w:val="36"/>
        </w:numPr>
      </w:pPr>
      <w:r>
        <w:t xml:space="preserve">The </w:t>
      </w:r>
      <w:r w:rsidR="00437AE9" w:rsidRPr="00FC6A13">
        <w:t xml:space="preserve">CDSS and </w:t>
      </w:r>
      <w:r w:rsidR="008F1E58">
        <w:t xml:space="preserve">the </w:t>
      </w:r>
      <w:r w:rsidR="00437AE9" w:rsidRPr="00FC6A13">
        <w:t xml:space="preserve">CDE </w:t>
      </w:r>
      <w:r w:rsidR="008F1E58">
        <w:t xml:space="preserve">are required </w:t>
      </w:r>
      <w:r w:rsidR="00437AE9" w:rsidRPr="00FC6A13">
        <w:t>to establish a working group to assess existing quality standards for child care and development an</w:t>
      </w:r>
      <w:r w:rsidR="00437AE9" w:rsidRPr="008F1E58">
        <w:t xml:space="preserve">d preschool programs and the methodology for establishing rates for those programs. </w:t>
      </w:r>
      <w:r w:rsidR="008F1E58">
        <w:t>T</w:t>
      </w:r>
      <w:r w:rsidR="00437AE9" w:rsidRPr="008F1E58">
        <w:t xml:space="preserve">he working group </w:t>
      </w:r>
      <w:r w:rsidR="008F1E58">
        <w:t>must</w:t>
      </w:r>
      <w:r w:rsidR="008F1E58" w:rsidRPr="008F1E58">
        <w:t xml:space="preserve"> </w:t>
      </w:r>
      <w:r w:rsidR="00437AE9" w:rsidRPr="008F1E58">
        <w:t xml:space="preserve">provide recommendations to the JLMC, DOF, and Joint Legislative Budget Committee relating to specified topics by </w:t>
      </w:r>
      <w:r w:rsidR="00CB761C" w:rsidRPr="008F1E58">
        <w:t>August 15, 2022</w:t>
      </w:r>
      <w:r w:rsidR="00437AE9" w:rsidRPr="008F1E58">
        <w:t>.</w:t>
      </w:r>
    </w:p>
    <w:p w14:paraId="6765DD82" w14:textId="26601230" w:rsidR="00437AE9" w:rsidRPr="00000F1D" w:rsidRDefault="00437AE9" w:rsidP="00000F1D">
      <w:pPr>
        <w:pStyle w:val="Body"/>
        <w:rPr>
          <w:b/>
          <w:bCs/>
        </w:rPr>
      </w:pPr>
      <w:r w:rsidRPr="00000F1D">
        <w:rPr>
          <w:b/>
          <w:bCs/>
        </w:rPr>
        <w:t>Slots</w:t>
      </w:r>
    </w:p>
    <w:p w14:paraId="49EFA988" w14:textId="3C5A6E1F" w:rsidR="00437AE9" w:rsidRPr="00BD5994" w:rsidRDefault="00437AE9" w:rsidP="0014089E">
      <w:pPr>
        <w:pStyle w:val="Body"/>
        <w:numPr>
          <w:ilvl w:val="0"/>
          <w:numId w:val="37"/>
        </w:numPr>
        <w:rPr>
          <w:b/>
          <w:i/>
        </w:rPr>
      </w:pPr>
      <w:r w:rsidRPr="00BD5994">
        <w:t>$</w:t>
      </w:r>
      <w:r w:rsidR="00866EB1">
        <w:t>411.6</w:t>
      </w:r>
      <w:r w:rsidRPr="00BD5994">
        <w:t xml:space="preserve"> million </w:t>
      </w:r>
      <w:r w:rsidR="008F1E58">
        <w:t xml:space="preserve">is appropriated </w:t>
      </w:r>
      <w:r w:rsidRPr="00BD5994">
        <w:t>to fund additional</w:t>
      </w:r>
      <w:r w:rsidR="00866EB1">
        <w:t xml:space="preserve"> voucher, direct contract, and State Preschool slots</w:t>
      </w:r>
      <w:r w:rsidRPr="00BD5994">
        <w:t>.</w:t>
      </w:r>
      <w:r w:rsidR="00174D21">
        <w:t xml:space="preserve"> </w:t>
      </w:r>
    </w:p>
    <w:p w14:paraId="0A479010" w14:textId="77777777" w:rsidR="00437AE9" w:rsidRPr="00000F1D" w:rsidRDefault="00437AE9" w:rsidP="00000F1D">
      <w:pPr>
        <w:pStyle w:val="Body"/>
        <w:rPr>
          <w:b/>
          <w:bCs/>
        </w:rPr>
      </w:pPr>
      <w:r w:rsidRPr="00000F1D">
        <w:rPr>
          <w:b/>
          <w:bCs/>
        </w:rPr>
        <w:t>Family Fees</w:t>
      </w:r>
    </w:p>
    <w:p w14:paraId="766E7E7D" w14:textId="23E1539B" w:rsidR="00437AE9" w:rsidRPr="00BD5994" w:rsidRDefault="008F1E58" w:rsidP="0014089E">
      <w:pPr>
        <w:pStyle w:val="Body"/>
        <w:numPr>
          <w:ilvl w:val="0"/>
          <w:numId w:val="37"/>
        </w:numPr>
        <w:rPr>
          <w:b/>
          <w:i/>
        </w:rPr>
      </w:pPr>
      <w:r>
        <w:t>F</w:t>
      </w:r>
      <w:r w:rsidR="00437AE9" w:rsidRPr="00BD5994">
        <w:t xml:space="preserve">amily fees </w:t>
      </w:r>
      <w:r>
        <w:t xml:space="preserve">are waived from </w:t>
      </w:r>
      <w:r w:rsidR="00CB761C">
        <w:t>July 1, 2021</w:t>
      </w:r>
      <w:r w:rsidR="00437AE9" w:rsidRPr="00BD5994">
        <w:t xml:space="preserve"> to </w:t>
      </w:r>
      <w:r w:rsidR="00CB761C">
        <w:t>June 30, 2022</w:t>
      </w:r>
      <w:r>
        <w:t xml:space="preserve">; </w:t>
      </w:r>
      <w:r w:rsidR="00437AE9" w:rsidRPr="00BD5994">
        <w:t xml:space="preserve">subsidized providers </w:t>
      </w:r>
      <w:r>
        <w:t xml:space="preserve">are </w:t>
      </w:r>
      <w:r w:rsidRPr="00353C80">
        <w:t>reimburse</w:t>
      </w:r>
      <w:r>
        <w:t>d</w:t>
      </w:r>
      <w:r w:rsidRPr="00BD5994">
        <w:t xml:space="preserve"> </w:t>
      </w:r>
      <w:r w:rsidR="00437AE9" w:rsidRPr="00BD5994">
        <w:t>for the full amount of the certificate or voucher without deducting family fees.</w:t>
      </w:r>
    </w:p>
    <w:p w14:paraId="07F788F6" w14:textId="77777777" w:rsidR="00437AE9" w:rsidRPr="00000F1D" w:rsidRDefault="00437AE9" w:rsidP="00000F1D">
      <w:pPr>
        <w:pStyle w:val="Body"/>
        <w:rPr>
          <w:b/>
          <w:bCs/>
        </w:rPr>
      </w:pPr>
      <w:r w:rsidRPr="00000F1D">
        <w:rPr>
          <w:b/>
          <w:bCs/>
        </w:rPr>
        <w:t>CCPU Agreement &amp; Provider Support</w:t>
      </w:r>
    </w:p>
    <w:p w14:paraId="3E4DE91C" w14:textId="16513921" w:rsidR="00437AE9" w:rsidRPr="0067396A" w:rsidRDefault="008F1E58" w:rsidP="0014089E">
      <w:pPr>
        <w:pStyle w:val="Body"/>
        <w:numPr>
          <w:ilvl w:val="0"/>
          <w:numId w:val="37"/>
        </w:numPr>
      </w:pPr>
      <w:r>
        <w:t>A</w:t>
      </w:r>
      <w:r w:rsidR="00437AE9" w:rsidRPr="00353C80">
        <w:t xml:space="preserve">greements between the state and CCPU dated </w:t>
      </w:r>
      <w:r w:rsidR="00CB761C" w:rsidRPr="00353C80">
        <w:t xml:space="preserve">April 20, 2021 </w:t>
      </w:r>
      <w:r w:rsidR="00437AE9" w:rsidRPr="00353C80">
        <w:t xml:space="preserve">and </w:t>
      </w:r>
      <w:r w:rsidR="00CB761C" w:rsidRPr="003C0D17">
        <w:t>June 25, 2021</w:t>
      </w:r>
      <w:r>
        <w:t xml:space="preserve"> are approved</w:t>
      </w:r>
      <w:r w:rsidR="00437AE9" w:rsidRPr="00656B05">
        <w:t>.</w:t>
      </w:r>
    </w:p>
    <w:p w14:paraId="4DF4A34C" w14:textId="1233E0AA" w:rsidR="00437AE9" w:rsidRPr="008F1E58" w:rsidRDefault="00437AE9" w:rsidP="0014089E">
      <w:pPr>
        <w:pStyle w:val="Body"/>
        <w:numPr>
          <w:ilvl w:val="0"/>
          <w:numId w:val="37"/>
        </w:numPr>
      </w:pPr>
      <w:r w:rsidRPr="00FC6A13">
        <w:t>$3</w:t>
      </w:r>
      <w:r w:rsidR="00866EB1" w:rsidRPr="00FC6A13">
        <w:t>78.9</w:t>
      </w:r>
      <w:r w:rsidR="00CB761C" w:rsidRPr="00FC6A13">
        <w:t xml:space="preserve"> million</w:t>
      </w:r>
      <w:r w:rsidRPr="00FC6A13">
        <w:t xml:space="preserve"> in federal funding </w:t>
      </w:r>
      <w:r w:rsidR="008F1E58">
        <w:t xml:space="preserve">is appropriated </w:t>
      </w:r>
      <w:r w:rsidRPr="00FC6A13">
        <w:t xml:space="preserve">to provide subsidized child care and preschool providers with COVID-19 pandemic-related assistance. </w:t>
      </w:r>
      <w:r w:rsidR="008F1E58">
        <w:t>This i</w:t>
      </w:r>
      <w:r w:rsidRPr="00FC6A13">
        <w:t>ncludes $200.02</w:t>
      </w:r>
      <w:r w:rsidR="00CB761C" w:rsidRPr="00FC6A13">
        <w:t xml:space="preserve"> </w:t>
      </w:r>
      <w:r w:rsidR="00CB761C" w:rsidRPr="00FC6A13">
        <w:lastRenderedPageBreak/>
        <w:t>million</w:t>
      </w:r>
      <w:r w:rsidRPr="00FC6A13">
        <w:t xml:space="preserve"> for flat-rate, one-time stipends and $83.3</w:t>
      </w:r>
      <w:r w:rsidR="00CB761C" w:rsidRPr="008F1E58">
        <w:t xml:space="preserve"> million</w:t>
      </w:r>
      <w:r w:rsidRPr="008F1E58">
        <w:t xml:space="preserve"> for existing state-subsidized APPs to extend child care services to various groups.</w:t>
      </w:r>
    </w:p>
    <w:p w14:paraId="7D8A0D3C" w14:textId="7E338499" w:rsidR="00437AE9" w:rsidRPr="00BD5994" w:rsidRDefault="00437AE9" w:rsidP="0014089E">
      <w:pPr>
        <w:pStyle w:val="Body"/>
        <w:numPr>
          <w:ilvl w:val="0"/>
          <w:numId w:val="37"/>
        </w:numPr>
      </w:pPr>
      <w:r w:rsidRPr="008F1E58">
        <w:t>$519</w:t>
      </w:r>
      <w:r w:rsidR="00CB761C" w:rsidRPr="008F1E58">
        <w:t xml:space="preserve"> million</w:t>
      </w:r>
      <w:r w:rsidRPr="008F1E58">
        <w:t xml:space="preserve"> in previously</w:t>
      </w:r>
      <w:r w:rsidR="008F1E58">
        <w:t xml:space="preserve"> </w:t>
      </w:r>
      <w:r w:rsidRPr="008F1E58">
        <w:t>appropriated funds and $60</w:t>
      </w:r>
      <w:r w:rsidR="00CB761C" w:rsidRPr="008F1E58">
        <w:t xml:space="preserve"> million</w:t>
      </w:r>
      <w:r w:rsidRPr="008F1E58">
        <w:t xml:space="preserve"> in federal funds </w:t>
      </w:r>
      <w:r w:rsidR="008F1E58">
        <w:t xml:space="preserve">is allocated </w:t>
      </w:r>
      <w:r w:rsidRPr="008F1E58">
        <w:t>to CDE to provide subsidized child care and CSPP providers with COVID-19 pandemic-related assistance</w:t>
      </w:r>
      <w:r w:rsidR="008F1E58">
        <w:t>,</w:t>
      </w:r>
      <w:r w:rsidRPr="008F1E58">
        <w:t xml:space="preserve"> including</w:t>
      </w:r>
      <w:r w:rsidR="00353C80">
        <w:t xml:space="preserve"> a f</w:t>
      </w:r>
      <w:r w:rsidRPr="00BD5994">
        <w:t>lat-rate, one-time stipend of $600 per child enrolled</w:t>
      </w:r>
      <w:r w:rsidR="008F1E58">
        <w:t>.</w:t>
      </w:r>
    </w:p>
    <w:p w14:paraId="342AB38E" w14:textId="63DA3564" w:rsidR="00437AE9" w:rsidRPr="00DE54E1" w:rsidRDefault="008F1E58" w:rsidP="0014089E">
      <w:pPr>
        <w:pStyle w:val="Body"/>
        <w:numPr>
          <w:ilvl w:val="0"/>
          <w:numId w:val="37"/>
        </w:numPr>
      </w:pPr>
      <w:r w:rsidRPr="00DE54E1">
        <w:t>An a</w:t>
      </w:r>
      <w:r w:rsidR="00437AE9" w:rsidRPr="00DE54E1">
        <w:t xml:space="preserve">dditional $3,500 </w:t>
      </w:r>
      <w:r w:rsidRPr="00DE54E1">
        <w:t xml:space="preserve">is allocated </w:t>
      </w:r>
      <w:r w:rsidR="00437AE9" w:rsidRPr="00DE54E1">
        <w:t xml:space="preserve">per family daycare home; $3,500 for centers with less than </w:t>
      </w:r>
      <w:r w:rsidR="00CB761C" w:rsidRPr="00DE54E1">
        <w:t>14</w:t>
      </w:r>
      <w:r w:rsidR="00437AE9" w:rsidRPr="00DE54E1">
        <w:t xml:space="preserve"> children; $4,000 for centers with 15-24 children; $5,000 for centers with 25-60 children; $6,500 for centers with 60</w:t>
      </w:r>
      <w:r w:rsidR="00E80F68">
        <w:t>-plus</w:t>
      </w:r>
      <w:r w:rsidR="00437AE9" w:rsidRPr="00DE54E1">
        <w:t xml:space="preserve"> children.</w:t>
      </w:r>
    </w:p>
    <w:p w14:paraId="653712B2" w14:textId="22B43C84" w:rsidR="00437AE9" w:rsidRPr="00DE54E1" w:rsidRDefault="008F1E58" w:rsidP="0014089E">
      <w:pPr>
        <w:pStyle w:val="Body"/>
        <w:numPr>
          <w:ilvl w:val="0"/>
          <w:numId w:val="37"/>
        </w:numPr>
      </w:pPr>
      <w:r w:rsidRPr="00DE54E1">
        <w:t>An a</w:t>
      </w:r>
      <w:r w:rsidR="00437AE9" w:rsidRPr="00DE54E1">
        <w:t xml:space="preserve">dditional </w:t>
      </w:r>
      <w:r w:rsidR="00CB761C" w:rsidRPr="00DE54E1">
        <w:t>16</w:t>
      </w:r>
      <w:r w:rsidR="00437AE9" w:rsidRPr="00DE54E1">
        <w:t xml:space="preserve"> paid nonoperational days </w:t>
      </w:r>
      <w:r w:rsidR="00E80F68">
        <w:t>are</w:t>
      </w:r>
      <w:r w:rsidRPr="00DE54E1">
        <w:t xml:space="preserve"> allocated </w:t>
      </w:r>
      <w:r w:rsidR="00437AE9" w:rsidRPr="00DE54E1">
        <w:t xml:space="preserve">to certain state-subsidized providers when they are closed </w:t>
      </w:r>
      <w:r w:rsidR="00E80F68">
        <w:t>for reasons related to</w:t>
      </w:r>
      <w:r w:rsidR="00437AE9" w:rsidRPr="00DE54E1">
        <w:t xml:space="preserve"> COVID-19.</w:t>
      </w:r>
    </w:p>
    <w:p w14:paraId="0CD514C7" w14:textId="7C4B87A4" w:rsidR="00437AE9" w:rsidRPr="00DE54E1" w:rsidRDefault="00437AE9" w:rsidP="0014089E">
      <w:pPr>
        <w:pStyle w:val="Body"/>
        <w:numPr>
          <w:ilvl w:val="0"/>
          <w:numId w:val="37"/>
        </w:numPr>
      </w:pPr>
      <w:r w:rsidRPr="00DE54E1">
        <w:t>$3.16</w:t>
      </w:r>
      <w:r w:rsidR="00CB761C" w:rsidRPr="00DE54E1">
        <w:t xml:space="preserve"> million</w:t>
      </w:r>
      <w:r w:rsidRPr="00DE54E1">
        <w:t xml:space="preserve"> in previously</w:t>
      </w:r>
      <w:r w:rsidR="008F1E58" w:rsidRPr="00DE54E1">
        <w:t xml:space="preserve"> </w:t>
      </w:r>
      <w:r w:rsidRPr="00DE54E1">
        <w:t xml:space="preserve">appropriated funds </w:t>
      </w:r>
      <w:r w:rsidR="008F1E58" w:rsidRPr="00DE54E1">
        <w:t xml:space="preserve">is allocated </w:t>
      </w:r>
      <w:r w:rsidRPr="00DE54E1">
        <w:t xml:space="preserve">to $500 incentive payments to previously unlicensed individuals who obtain a family daycare home license on or after </w:t>
      </w:r>
      <w:r w:rsidR="00CB761C" w:rsidRPr="00DE54E1">
        <w:t xml:space="preserve">June 28, 2021 </w:t>
      </w:r>
      <w:r w:rsidRPr="00DE54E1">
        <w:t>and main</w:t>
      </w:r>
      <w:r w:rsidR="00CB761C" w:rsidRPr="00DE54E1">
        <w:t>tain</w:t>
      </w:r>
      <w:r w:rsidRPr="00DE54E1">
        <w:t xml:space="preserve"> an active license for </w:t>
      </w:r>
      <w:r w:rsidR="008F1E58" w:rsidRPr="00DE54E1">
        <w:t xml:space="preserve">12 </w:t>
      </w:r>
      <w:r w:rsidRPr="00DE54E1">
        <w:t>months.</w:t>
      </w:r>
    </w:p>
    <w:p w14:paraId="658ACF29" w14:textId="1B76549E" w:rsidR="00437AE9" w:rsidRPr="00DE54E1" w:rsidRDefault="00437AE9" w:rsidP="0014089E">
      <w:pPr>
        <w:pStyle w:val="Body"/>
        <w:numPr>
          <w:ilvl w:val="0"/>
          <w:numId w:val="37"/>
        </w:numPr>
      </w:pPr>
      <w:r w:rsidRPr="00DE54E1">
        <w:t>$40</w:t>
      </w:r>
      <w:r w:rsidR="00CB761C" w:rsidRPr="00DE54E1">
        <w:t xml:space="preserve"> million</w:t>
      </w:r>
      <w:r w:rsidRPr="00DE54E1">
        <w:t xml:space="preserve"> in previously</w:t>
      </w:r>
      <w:r w:rsidR="008F1E58" w:rsidRPr="00DE54E1">
        <w:t xml:space="preserve"> </w:t>
      </w:r>
      <w:r w:rsidRPr="00DE54E1">
        <w:t xml:space="preserve">appropriated funds </w:t>
      </w:r>
      <w:r w:rsidR="008F1E58" w:rsidRPr="00DE54E1">
        <w:t xml:space="preserve">is allocated </w:t>
      </w:r>
      <w:r w:rsidRPr="00DE54E1">
        <w:t>to establish the Joint Child Care Providers United-State of California Training Partnership Fund.</w:t>
      </w:r>
    </w:p>
    <w:p w14:paraId="193A52EE" w14:textId="05A44D4D" w:rsidR="00437AE9" w:rsidRPr="00DE54E1" w:rsidRDefault="00437AE9" w:rsidP="0014089E">
      <w:pPr>
        <w:pStyle w:val="Body"/>
        <w:numPr>
          <w:ilvl w:val="0"/>
          <w:numId w:val="37"/>
        </w:numPr>
      </w:pPr>
      <w:r w:rsidRPr="00DE54E1">
        <w:t>$98.63</w:t>
      </w:r>
      <w:r w:rsidR="00CB761C" w:rsidRPr="00DE54E1">
        <w:t xml:space="preserve"> million</w:t>
      </w:r>
      <w:r w:rsidRPr="00DE54E1">
        <w:t xml:space="preserve"> in previously</w:t>
      </w:r>
      <w:r w:rsidR="008F1E58" w:rsidRPr="00DE54E1">
        <w:t xml:space="preserve"> </w:t>
      </w:r>
      <w:r w:rsidRPr="00DE54E1">
        <w:t>appropriated funds and $190.37</w:t>
      </w:r>
      <w:r w:rsidR="008F1E58" w:rsidRPr="00DE54E1">
        <w:t xml:space="preserve"> million</w:t>
      </w:r>
      <w:r w:rsidRPr="00DE54E1">
        <w:t xml:space="preserve"> from GF </w:t>
      </w:r>
      <w:r w:rsidR="008F1E58" w:rsidRPr="00DE54E1">
        <w:t xml:space="preserve">is allocated </w:t>
      </w:r>
      <w:r w:rsidRPr="00DE54E1">
        <w:t xml:space="preserve">to CDSS to provide rate supplements from 1/1/22 through 12/31/23. </w:t>
      </w:r>
      <w:r w:rsidR="00E80F68">
        <w:t>CCPU is a</w:t>
      </w:r>
      <w:r w:rsidRPr="00DE54E1">
        <w:t>uthorize</w:t>
      </w:r>
      <w:r w:rsidR="00E80F68">
        <w:t>d</w:t>
      </w:r>
      <w:r w:rsidRPr="00DE54E1">
        <w:t xml:space="preserve"> to determine how this funding is used to supplement reimbursement rates and the methodology for supplementing rates, subject to review and approval by the state.</w:t>
      </w:r>
    </w:p>
    <w:p w14:paraId="6D8C31AD" w14:textId="3B045DBE" w:rsidR="00437AE9" w:rsidRPr="00DE54E1" w:rsidRDefault="00437AE9" w:rsidP="0014089E">
      <w:pPr>
        <w:pStyle w:val="Body"/>
        <w:numPr>
          <w:ilvl w:val="0"/>
          <w:numId w:val="37"/>
        </w:numPr>
      </w:pPr>
      <w:r w:rsidRPr="00DE54E1">
        <w:t>$29.078</w:t>
      </w:r>
      <w:r w:rsidR="00CB761C" w:rsidRPr="00DE54E1">
        <w:t xml:space="preserve"> million</w:t>
      </w:r>
      <w:r w:rsidRPr="00DE54E1">
        <w:t xml:space="preserve"> </w:t>
      </w:r>
      <w:r w:rsidR="008F1E58" w:rsidRPr="00DE54E1">
        <w:t xml:space="preserve">is appropriated </w:t>
      </w:r>
      <w:r w:rsidRPr="00DE54E1">
        <w:t>to CDSS to provide COLA increases to providers and makes various appropriations and allocations from previously</w:t>
      </w:r>
      <w:r w:rsidR="00E80F68">
        <w:t xml:space="preserve"> </w:t>
      </w:r>
      <w:r w:rsidRPr="00DE54E1">
        <w:t>appropriated funds to provide rate supplements and increases to child care and development and CSPP providers.</w:t>
      </w:r>
    </w:p>
    <w:p w14:paraId="365AA30C" w14:textId="77777777" w:rsidR="00437AE9" w:rsidRPr="00000F1D" w:rsidRDefault="00437AE9" w:rsidP="00000F1D">
      <w:pPr>
        <w:pStyle w:val="Body"/>
        <w:rPr>
          <w:b/>
          <w:bCs/>
        </w:rPr>
      </w:pPr>
      <w:r w:rsidRPr="00000F1D">
        <w:rPr>
          <w:b/>
          <w:bCs/>
        </w:rPr>
        <w:t>CDSS Transition</w:t>
      </w:r>
    </w:p>
    <w:p w14:paraId="4E2DDE19" w14:textId="25F834B3" w:rsidR="00437AE9" w:rsidRPr="00BD5994" w:rsidRDefault="00BF019B" w:rsidP="0014089E">
      <w:pPr>
        <w:pStyle w:val="Body"/>
        <w:numPr>
          <w:ilvl w:val="0"/>
          <w:numId w:val="38"/>
        </w:numPr>
      </w:pPr>
      <w:r>
        <w:t>S</w:t>
      </w:r>
      <w:r w:rsidR="00437AE9" w:rsidRPr="00BD5994">
        <w:t xml:space="preserve">tatutory changes </w:t>
      </w:r>
      <w:r>
        <w:t xml:space="preserve">have been made </w:t>
      </w:r>
      <w:r w:rsidR="00437AE9" w:rsidRPr="00BD5994">
        <w:t xml:space="preserve">to the transition of ELC programs from CDE to CDSS. CDE/SSPI </w:t>
      </w:r>
      <w:r>
        <w:t>will</w:t>
      </w:r>
      <w:r w:rsidRPr="00BD5994">
        <w:t xml:space="preserve"> </w:t>
      </w:r>
      <w:r w:rsidR="00437AE9" w:rsidRPr="00BD5994">
        <w:t>retain administrative supervision of CSPP and clarif</w:t>
      </w:r>
      <w:r>
        <w:t>ication has been made</w:t>
      </w:r>
      <w:r w:rsidR="00437AE9" w:rsidRPr="00BD5994">
        <w:t xml:space="preserve"> that Ed</w:t>
      </w:r>
      <w:r>
        <w:t>ucation</w:t>
      </w:r>
      <w:r w:rsidR="00437AE9" w:rsidRPr="00BD5994">
        <w:t xml:space="preserve"> Code sections apply to CSPP only.</w:t>
      </w:r>
    </w:p>
    <w:p w14:paraId="50AE3DA6" w14:textId="3E0A858D" w:rsidR="00437AE9" w:rsidRPr="00000F1D" w:rsidRDefault="00437AE9" w:rsidP="00000F1D">
      <w:pPr>
        <w:pStyle w:val="Body"/>
        <w:rPr>
          <w:b/>
          <w:bCs/>
        </w:rPr>
      </w:pPr>
      <w:r w:rsidRPr="00000F1D">
        <w:rPr>
          <w:b/>
          <w:bCs/>
        </w:rPr>
        <w:t>One</w:t>
      </w:r>
      <w:r w:rsidR="00353C80">
        <w:rPr>
          <w:b/>
          <w:bCs/>
        </w:rPr>
        <w:t>-</w:t>
      </w:r>
      <w:r w:rsidRPr="00000F1D">
        <w:rPr>
          <w:b/>
          <w:bCs/>
        </w:rPr>
        <w:t>Time Funds</w:t>
      </w:r>
    </w:p>
    <w:p w14:paraId="477FD79B" w14:textId="167C094E" w:rsidR="00437AE9" w:rsidRPr="00656B05" w:rsidRDefault="00437AE9" w:rsidP="0014089E">
      <w:pPr>
        <w:pStyle w:val="Body"/>
        <w:numPr>
          <w:ilvl w:val="0"/>
          <w:numId w:val="38"/>
        </w:numPr>
      </w:pPr>
      <w:r w:rsidRPr="00353C80">
        <w:t xml:space="preserve">$250 million </w:t>
      </w:r>
      <w:r w:rsidR="00BF019B">
        <w:t xml:space="preserve">has been allocated </w:t>
      </w:r>
      <w:r w:rsidRPr="00353C80">
        <w:t>to amend the Child Care &amp; Development Block Grant Program administered by CDSS for the construction, renovation or repair of existing or new facilities for child care and preschool providers.</w:t>
      </w:r>
    </w:p>
    <w:p w14:paraId="0E7F2808" w14:textId="42F120B1" w:rsidR="00437AE9" w:rsidRPr="00FC6A13" w:rsidRDefault="00437AE9" w:rsidP="0014089E">
      <w:pPr>
        <w:pStyle w:val="Body"/>
        <w:numPr>
          <w:ilvl w:val="0"/>
          <w:numId w:val="38"/>
        </w:numPr>
      </w:pPr>
      <w:r w:rsidRPr="00FC6A13">
        <w:t xml:space="preserve">$4.3 </w:t>
      </w:r>
      <w:r w:rsidR="00CB761C" w:rsidRPr="00FC6A13">
        <w:t>m</w:t>
      </w:r>
      <w:r w:rsidRPr="00FC6A13">
        <w:t xml:space="preserve">illion </w:t>
      </w:r>
      <w:r w:rsidR="00BF019B">
        <w:t xml:space="preserve">has been allocated </w:t>
      </w:r>
      <w:r w:rsidRPr="00FC6A13">
        <w:t>for an ECE data system</w:t>
      </w:r>
      <w:r w:rsidR="00BF019B">
        <w:t>.</w:t>
      </w:r>
    </w:p>
    <w:p w14:paraId="3F2F82C3" w14:textId="41B58D18" w:rsidR="00437AE9" w:rsidRPr="00000F1D" w:rsidRDefault="00437AE9" w:rsidP="0014089E">
      <w:pPr>
        <w:pStyle w:val="Body"/>
        <w:numPr>
          <w:ilvl w:val="0"/>
          <w:numId w:val="38"/>
        </w:numPr>
      </w:pPr>
      <w:r w:rsidRPr="00FC6A13">
        <w:t xml:space="preserve">$40 million </w:t>
      </w:r>
      <w:r w:rsidR="00BF019B">
        <w:t xml:space="preserve">has been allocated </w:t>
      </w:r>
      <w:r w:rsidRPr="00FC6A13">
        <w:t>to continue the Early Math Initiative</w:t>
      </w:r>
      <w:r w:rsidR="00BF019B">
        <w:t>.</w:t>
      </w:r>
    </w:p>
    <w:p w14:paraId="1CB85419" w14:textId="77777777" w:rsidR="00437AE9" w:rsidRPr="000155D7" w:rsidRDefault="00437AE9" w:rsidP="00000F1D">
      <w:pPr>
        <w:pStyle w:val="Body"/>
      </w:pPr>
      <w:r w:rsidRPr="00000F1D">
        <w:rPr>
          <w:b/>
          <w:bCs/>
        </w:rPr>
        <w:lastRenderedPageBreak/>
        <w:t>Other</w:t>
      </w:r>
    </w:p>
    <w:p w14:paraId="667F1414" w14:textId="0A23C1FA" w:rsidR="00437AE9" w:rsidRPr="00FC6A13" w:rsidRDefault="00437AE9" w:rsidP="0014089E">
      <w:pPr>
        <w:pStyle w:val="Body"/>
        <w:numPr>
          <w:ilvl w:val="0"/>
          <w:numId w:val="39"/>
        </w:numPr>
      </w:pPr>
      <w:r w:rsidRPr="00353C80">
        <w:t xml:space="preserve">CSPP contractors, child care and development program contractors, and providers </w:t>
      </w:r>
      <w:r w:rsidR="00BF019B">
        <w:t xml:space="preserve">are required </w:t>
      </w:r>
      <w:r w:rsidRPr="00353C80">
        <w:t>to provi</w:t>
      </w:r>
      <w:r w:rsidRPr="00656B05">
        <w:t xml:space="preserve">de specified information to CDE/CDSS via a one-time application or survey </w:t>
      </w:r>
      <w:r w:rsidR="00485F43">
        <w:t>before</w:t>
      </w:r>
      <w:r w:rsidRPr="00656B05">
        <w:t xml:space="preserve"> receiving </w:t>
      </w:r>
      <w:r w:rsidR="0014089E">
        <w:t>American Rescue Plan</w:t>
      </w:r>
      <w:r w:rsidR="008C3610">
        <w:t xml:space="preserve"> Act (</w:t>
      </w:r>
      <w:r w:rsidRPr="00656B05">
        <w:t>ARPA</w:t>
      </w:r>
      <w:r w:rsidR="008C3610">
        <w:t>)</w:t>
      </w:r>
      <w:r w:rsidRPr="00656B05">
        <w:t xml:space="preserve"> funds.</w:t>
      </w:r>
    </w:p>
    <w:p w14:paraId="34322AAB" w14:textId="791EDD38" w:rsidR="00437AE9" w:rsidRPr="008F1E58" w:rsidRDefault="008C3610" w:rsidP="0014089E">
      <w:pPr>
        <w:pStyle w:val="Body"/>
        <w:numPr>
          <w:ilvl w:val="0"/>
          <w:numId w:val="39"/>
        </w:numPr>
      </w:pPr>
      <w:r>
        <w:t>T</w:t>
      </w:r>
      <w:r w:rsidR="00437AE9" w:rsidRPr="00FC6A13">
        <w:t>he requirement for attendance sheets to be si</w:t>
      </w:r>
      <w:r w:rsidR="00BF019B">
        <w:t>g</w:t>
      </w:r>
      <w:r w:rsidR="00437AE9" w:rsidRPr="00FC6A13">
        <w:t xml:space="preserve">ned </w:t>
      </w:r>
      <w:r>
        <w:t xml:space="preserve">is waived </w:t>
      </w:r>
      <w:r w:rsidR="00437AE9" w:rsidRPr="00FC6A13">
        <w:t>if the provider attempts to collect a signature and the parent/guardian is unable to sign due to the COVID-19 pandemic.</w:t>
      </w:r>
    </w:p>
    <w:p w14:paraId="039BAF14" w14:textId="5023C96B" w:rsidR="00437AE9" w:rsidRPr="008F1E58" w:rsidRDefault="008C3610" w:rsidP="0014089E">
      <w:pPr>
        <w:pStyle w:val="Body"/>
        <w:numPr>
          <w:ilvl w:val="0"/>
          <w:numId w:val="39"/>
        </w:numPr>
      </w:pPr>
      <w:r>
        <w:t>F</w:t>
      </w:r>
      <w:r w:rsidR="0014089E">
        <w:t xml:space="preserve">ederal funds allocated to resource </w:t>
      </w:r>
      <w:r w:rsidR="00437AE9" w:rsidRPr="008F1E58">
        <w:t>&amp;</w:t>
      </w:r>
      <w:r w:rsidR="0014089E">
        <w:t xml:space="preserve"> referral</w:t>
      </w:r>
      <w:r w:rsidR="00437AE9" w:rsidRPr="008F1E58">
        <w:t xml:space="preserve"> agencies for continued participation in COVID-19 relief and recovery </w:t>
      </w:r>
      <w:r>
        <w:t>must</w:t>
      </w:r>
      <w:r w:rsidRPr="008F1E58">
        <w:t xml:space="preserve"> </w:t>
      </w:r>
      <w:r w:rsidR="00437AE9" w:rsidRPr="008F1E58">
        <w:t>be used to strengthen their role as intermediaries to develop new and support existing facilities and capacity, and streamline and improve data collection processes.</w:t>
      </w:r>
    </w:p>
    <w:p w14:paraId="06983449" w14:textId="7F91478F" w:rsidR="00437AE9" w:rsidRPr="008F1E58" w:rsidRDefault="0014089E" w:rsidP="0014089E">
      <w:pPr>
        <w:pStyle w:val="Body"/>
        <w:numPr>
          <w:ilvl w:val="0"/>
          <w:numId w:val="39"/>
        </w:numPr>
      </w:pPr>
      <w:r>
        <w:t>AB 131 c</w:t>
      </w:r>
      <w:r w:rsidR="00437AE9" w:rsidRPr="008F1E58">
        <w:t xml:space="preserve">larifies the Early Learning and Care Infrastructure Grant Program is under CDSS jurisdiction. Implementation </w:t>
      </w:r>
      <w:r w:rsidR="00485F43">
        <w:t xml:space="preserve">is </w:t>
      </w:r>
      <w:r w:rsidR="00437AE9" w:rsidRPr="008F1E58">
        <w:t>subject to appropriation. Makes various other changes to the program, including expanding eligibility to include unsubsidized providers meeting certain criteria.</w:t>
      </w:r>
    </w:p>
    <w:p w14:paraId="181A99D5" w14:textId="7BE8BFA7" w:rsidR="00437AE9" w:rsidRPr="008F1E58" w:rsidRDefault="0014089E" w:rsidP="0014089E">
      <w:pPr>
        <w:pStyle w:val="Body"/>
        <w:numPr>
          <w:ilvl w:val="0"/>
          <w:numId w:val="39"/>
        </w:numPr>
      </w:pPr>
      <w:r>
        <w:t>AB 131 m</w:t>
      </w:r>
      <w:r w:rsidR="00437AE9" w:rsidRPr="008F1E58">
        <w:t>akes Early Learning and Care Workforce Development Grants Program implementation subject to an appropriation.</w:t>
      </w:r>
    </w:p>
    <w:p w14:paraId="78FE0D4C" w14:textId="77777777" w:rsidR="007552C3" w:rsidRPr="008F1E58" w:rsidRDefault="007552C3" w:rsidP="00000F1D">
      <w:pPr>
        <w:pStyle w:val="Bodynospaceafterorbeforepara"/>
      </w:pPr>
    </w:p>
    <w:p w14:paraId="25012D5E" w14:textId="3D81DE76" w:rsidR="00183491" w:rsidRPr="00342078" w:rsidRDefault="00183491" w:rsidP="004C4038">
      <w:pPr>
        <w:pStyle w:val="Headline2"/>
      </w:pPr>
      <w:bookmarkStart w:id="80" w:name="_Toc72932902"/>
      <w:bookmarkStart w:id="81" w:name="_Toc77836553"/>
      <w:bookmarkStart w:id="82" w:name="_Toc77838795"/>
      <w:bookmarkStart w:id="83" w:name="_Toc77843060"/>
      <w:r w:rsidRPr="00342078">
        <w:t>Summary</w:t>
      </w:r>
      <w:bookmarkEnd w:id="72"/>
      <w:bookmarkEnd w:id="80"/>
      <w:bookmarkEnd w:id="81"/>
      <w:bookmarkEnd w:id="82"/>
      <w:bookmarkEnd w:id="83"/>
    </w:p>
    <w:bookmarkEnd w:id="0"/>
    <w:p w14:paraId="36619C00" w14:textId="05C7A674" w:rsidR="007D4A01" w:rsidRDefault="00E6063C" w:rsidP="007D4A01">
      <w:pPr>
        <w:pStyle w:val="Body"/>
      </w:pPr>
      <w:r w:rsidRPr="007D4A01">
        <w:t>This edition of the Common Message serves to provide data and guidance to LEAs for fiscal planning and t</w:t>
      </w:r>
      <w:r w:rsidR="008C3610" w:rsidRPr="007D4A01">
        <w:t>he</w:t>
      </w:r>
      <w:r w:rsidRPr="007D4A01">
        <w:t xml:space="preserve"> develop</w:t>
      </w:r>
      <w:r w:rsidR="008C3610" w:rsidRPr="007D4A01">
        <w:t>ment of</w:t>
      </w:r>
      <w:r w:rsidRPr="007D4A01">
        <w:t xml:space="preserve"> their 2021-22 45-day </w:t>
      </w:r>
      <w:r w:rsidR="008C3610" w:rsidRPr="007D4A01">
        <w:t xml:space="preserve">budget </w:t>
      </w:r>
      <w:r w:rsidRPr="007D4A01">
        <w:t xml:space="preserve">revision and </w:t>
      </w:r>
      <w:r w:rsidR="008C3610" w:rsidRPr="007D4A01">
        <w:t>multiyear projection</w:t>
      </w:r>
      <w:r w:rsidRPr="007D4A01">
        <w:t>. The information provided for fiscal year 2021-22 and beyond includes the latest known proposals and projections to assist with multiyear planning. As each LEA has unique funding and program attributes and needs, it remains essential that LEAs continuously assess their individual situations, work closely with their county offices of education, and plan accordingly to maintain fiscal solvency and educational program integrity.</w:t>
      </w:r>
      <w:r w:rsidR="005A2A50" w:rsidRPr="005A2A50" w:rsidDel="005A2A50">
        <w:t xml:space="preserve"> </w:t>
      </w:r>
    </w:p>
    <w:p w14:paraId="3B14B268" w14:textId="3343EB9F" w:rsidR="007D4A01" w:rsidRDefault="007D4A01" w:rsidP="00000F1D">
      <w:pPr>
        <w:pStyle w:val="Body"/>
      </w:pPr>
      <w:r>
        <w:br w:type="page"/>
      </w:r>
    </w:p>
    <w:p w14:paraId="4FB2F6B9" w14:textId="557363E9" w:rsidR="007D4A01" w:rsidRPr="00485F43" w:rsidRDefault="00485F43" w:rsidP="00000F1D">
      <w:pPr>
        <w:pStyle w:val="Headline2"/>
      </w:pPr>
      <w:bookmarkStart w:id="84" w:name="_Toc77843061"/>
      <w:r w:rsidRPr="00485F43">
        <w:lastRenderedPageBreak/>
        <w:t>Appendix A</w:t>
      </w:r>
      <w:bookmarkEnd w:id="84"/>
    </w:p>
    <w:p w14:paraId="57F5768C" w14:textId="70739D5B" w:rsidR="000155D7" w:rsidRPr="005A2A50" w:rsidRDefault="00485F43" w:rsidP="00000F1D">
      <w:pPr>
        <w:pStyle w:val="Body"/>
      </w:pPr>
      <w:r>
        <w:rPr>
          <w:noProof/>
        </w:rPr>
        <w:drawing>
          <wp:inline distT="0" distB="0" distL="0" distR="0" wp14:anchorId="221E7144" wp14:editId="58F625CE">
            <wp:extent cx="5943600" cy="7691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155D7" w:rsidRPr="005A2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8EF1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1893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E835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821F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E09F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3222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2E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455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38C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62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37AC3B18"/>
    <w:lvl w:ilvl="0">
      <w:start w:val="1"/>
      <w:numFmt w:val="bullet"/>
      <w:lvlText w:val=""/>
      <w:lvlJc w:val="left"/>
      <w:pPr>
        <w:ind w:left="785" w:hanging="344"/>
      </w:pPr>
      <w:rPr>
        <w:rFonts w:ascii="Symbol" w:hAnsi="Symbol" w:hint="default"/>
        <w:b w:val="0"/>
        <w:bCs w:val="0"/>
        <w:spacing w:val="-2"/>
        <w:w w:val="100"/>
      </w:rPr>
    </w:lvl>
    <w:lvl w:ilvl="1">
      <w:numFmt w:val="bullet"/>
      <w:lvlText w:val="•"/>
      <w:lvlJc w:val="left"/>
      <w:pPr>
        <w:ind w:left="1695" w:hanging="344"/>
      </w:pPr>
    </w:lvl>
    <w:lvl w:ilvl="2">
      <w:numFmt w:val="bullet"/>
      <w:lvlText w:val="•"/>
      <w:lvlJc w:val="left"/>
      <w:pPr>
        <w:ind w:left="2609" w:hanging="344"/>
      </w:pPr>
    </w:lvl>
    <w:lvl w:ilvl="3">
      <w:numFmt w:val="bullet"/>
      <w:lvlText w:val="•"/>
      <w:lvlJc w:val="left"/>
      <w:pPr>
        <w:ind w:left="3523" w:hanging="344"/>
      </w:pPr>
    </w:lvl>
    <w:lvl w:ilvl="4">
      <w:numFmt w:val="bullet"/>
      <w:lvlText w:val="•"/>
      <w:lvlJc w:val="left"/>
      <w:pPr>
        <w:ind w:left="4437" w:hanging="344"/>
      </w:pPr>
    </w:lvl>
    <w:lvl w:ilvl="5">
      <w:numFmt w:val="bullet"/>
      <w:lvlText w:val="•"/>
      <w:lvlJc w:val="left"/>
      <w:pPr>
        <w:ind w:left="5351" w:hanging="344"/>
      </w:pPr>
    </w:lvl>
    <w:lvl w:ilvl="6">
      <w:numFmt w:val="bullet"/>
      <w:lvlText w:val="•"/>
      <w:lvlJc w:val="left"/>
      <w:pPr>
        <w:ind w:left="6265" w:hanging="344"/>
      </w:pPr>
    </w:lvl>
    <w:lvl w:ilvl="7">
      <w:numFmt w:val="bullet"/>
      <w:lvlText w:val="•"/>
      <w:lvlJc w:val="left"/>
      <w:pPr>
        <w:ind w:left="7179" w:hanging="344"/>
      </w:pPr>
    </w:lvl>
    <w:lvl w:ilvl="8">
      <w:numFmt w:val="bullet"/>
      <w:lvlText w:val="•"/>
      <w:lvlJc w:val="left"/>
      <w:pPr>
        <w:ind w:left="8093" w:hanging="344"/>
      </w:pPr>
    </w:lvl>
  </w:abstractNum>
  <w:abstractNum w:abstractNumId="11" w15:restartNumberingAfterBreak="0">
    <w:nsid w:val="013E664E"/>
    <w:multiLevelType w:val="hybridMultilevel"/>
    <w:tmpl w:val="220C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C32B8"/>
    <w:multiLevelType w:val="hybridMultilevel"/>
    <w:tmpl w:val="CEB805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F6F3D36"/>
    <w:multiLevelType w:val="hybridMultilevel"/>
    <w:tmpl w:val="FE5E1A14"/>
    <w:lvl w:ilvl="0" w:tplc="EAAED6DA">
      <w:start w:val="1"/>
      <w:numFmt w:val="bullet"/>
      <w:pStyle w:val="Bullet"/>
      <w:lvlText w:val=""/>
      <w:lvlJc w:val="left"/>
      <w:pPr>
        <w:ind w:left="-5760" w:hanging="360"/>
      </w:pPr>
      <w:rPr>
        <w:rFonts w:ascii="Symbol" w:hAnsi="Symbol" w:hint="default"/>
      </w:rPr>
    </w:lvl>
    <w:lvl w:ilvl="1" w:tplc="000AFEC6">
      <w:start w:val="1"/>
      <w:numFmt w:val="bullet"/>
      <w:lvlText w:val="o"/>
      <w:lvlJc w:val="left"/>
      <w:pPr>
        <w:ind w:left="-5040" w:hanging="360"/>
      </w:pPr>
      <w:rPr>
        <w:rFonts w:ascii="Courier New" w:hAnsi="Courier New" w:cs="Courier New" w:hint="default"/>
      </w:rPr>
    </w:lvl>
    <w:lvl w:ilvl="2" w:tplc="956A7D30">
      <w:start w:val="1"/>
      <w:numFmt w:val="bullet"/>
      <w:lvlText w:val=""/>
      <w:lvlJc w:val="left"/>
      <w:pPr>
        <w:ind w:left="-4320" w:hanging="360"/>
      </w:pPr>
      <w:rPr>
        <w:rFonts w:ascii="Wingdings" w:hAnsi="Wingdings" w:hint="default"/>
      </w:rPr>
    </w:lvl>
    <w:lvl w:ilvl="3" w:tplc="DD4666EE">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14" w15:restartNumberingAfterBreak="0">
    <w:nsid w:val="0F9C01E7"/>
    <w:multiLevelType w:val="hybridMultilevel"/>
    <w:tmpl w:val="768E9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260965"/>
    <w:multiLevelType w:val="hybridMultilevel"/>
    <w:tmpl w:val="380A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549D1"/>
    <w:multiLevelType w:val="multilevel"/>
    <w:tmpl w:val="B5586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pStyle w:val="bulletindent1"/>
      <w:lvlText w:val=""/>
      <w:lvlJc w:val="left"/>
      <w:pPr>
        <w:tabs>
          <w:tab w:val="num" w:pos="2160"/>
        </w:tabs>
        <w:ind w:left="2160" w:hanging="360"/>
      </w:pPr>
      <w:rPr>
        <w:rFonts w:ascii="Wingdings" w:hAnsi="Wingdings" w:hint="default"/>
        <w:sz w:val="20"/>
      </w:rPr>
    </w:lvl>
    <w:lvl w:ilvl="3">
      <w:start w:val="1"/>
      <w:numFmt w:val="bullet"/>
      <w:pStyle w:val="bulletindent2"/>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F0DA0"/>
    <w:multiLevelType w:val="hybridMultilevel"/>
    <w:tmpl w:val="80886D0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1C3D114A"/>
    <w:multiLevelType w:val="hybridMultilevel"/>
    <w:tmpl w:val="129437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15:restartNumberingAfterBreak="0">
    <w:nsid w:val="21196725"/>
    <w:multiLevelType w:val="hybridMultilevel"/>
    <w:tmpl w:val="FAA64358"/>
    <w:lvl w:ilvl="0" w:tplc="04090001">
      <w:start w:val="1"/>
      <w:numFmt w:val="bullet"/>
      <w:lvlText w:val=""/>
      <w:lvlJc w:val="left"/>
      <w:pPr>
        <w:ind w:left="720" w:hanging="360"/>
      </w:pPr>
      <w:rPr>
        <w:rFonts w:ascii="Symbol" w:hAnsi="Symbol" w:hint="default"/>
      </w:rPr>
    </w:lvl>
    <w:lvl w:ilvl="1" w:tplc="0080656E">
      <w:start w:val="1"/>
      <w:numFmt w:val="bullet"/>
      <w:pStyle w:val="bullet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80FE5"/>
    <w:multiLevelType w:val="hybridMultilevel"/>
    <w:tmpl w:val="7732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87DCB"/>
    <w:multiLevelType w:val="hybridMultilevel"/>
    <w:tmpl w:val="6BA4F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1774A9"/>
    <w:multiLevelType w:val="hybridMultilevel"/>
    <w:tmpl w:val="A426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D10EE"/>
    <w:multiLevelType w:val="hybridMultilevel"/>
    <w:tmpl w:val="1EC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25CE7"/>
    <w:multiLevelType w:val="hybridMultilevel"/>
    <w:tmpl w:val="82C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4318C6"/>
    <w:multiLevelType w:val="hybridMultilevel"/>
    <w:tmpl w:val="1F36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859DC"/>
    <w:multiLevelType w:val="hybridMultilevel"/>
    <w:tmpl w:val="1EDC54C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077737"/>
    <w:multiLevelType w:val="hybridMultilevel"/>
    <w:tmpl w:val="BB00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03EA8"/>
    <w:multiLevelType w:val="hybridMultilevel"/>
    <w:tmpl w:val="D860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A77F2"/>
    <w:multiLevelType w:val="hybridMultilevel"/>
    <w:tmpl w:val="C7AC9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44709C"/>
    <w:multiLevelType w:val="hybridMultilevel"/>
    <w:tmpl w:val="37B0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31BCE"/>
    <w:multiLevelType w:val="hybridMultilevel"/>
    <w:tmpl w:val="C9E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71065"/>
    <w:multiLevelType w:val="hybridMultilevel"/>
    <w:tmpl w:val="46CA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15FB0"/>
    <w:multiLevelType w:val="hybridMultilevel"/>
    <w:tmpl w:val="491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C5EF1"/>
    <w:multiLevelType w:val="hybridMultilevel"/>
    <w:tmpl w:val="23BA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B077B"/>
    <w:multiLevelType w:val="hybridMultilevel"/>
    <w:tmpl w:val="4830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4261F"/>
    <w:multiLevelType w:val="hybridMultilevel"/>
    <w:tmpl w:val="90601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F345D"/>
    <w:multiLevelType w:val="hybridMultilevel"/>
    <w:tmpl w:val="C1AEAA82"/>
    <w:lvl w:ilvl="0" w:tplc="5C0A7D16">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1"/>
  </w:num>
  <w:num w:numId="3">
    <w:abstractNumId w:val="10"/>
  </w:num>
  <w:num w:numId="4">
    <w:abstractNumId w:val="13"/>
  </w:num>
  <w:num w:numId="5">
    <w:abstractNumId w:val="19"/>
  </w:num>
  <w:num w:numId="6">
    <w:abstractNumId w:val="16"/>
  </w:num>
  <w:num w:numId="7">
    <w:abstractNumId w:val="37"/>
  </w:num>
  <w:num w:numId="8">
    <w:abstractNumId w:val="33"/>
  </w:num>
  <w:num w:numId="9">
    <w:abstractNumId w:val="36"/>
  </w:num>
  <w:num w:numId="10">
    <w:abstractNumId w:val="17"/>
  </w:num>
  <w:num w:numId="11">
    <w:abstractNumId w:val="24"/>
  </w:num>
  <w:num w:numId="12">
    <w:abstractNumId w:val="28"/>
  </w:num>
  <w:num w:numId="13">
    <w:abstractNumId w:val="26"/>
  </w:num>
  <w:num w:numId="14">
    <w:abstractNumId w:val="32"/>
  </w:num>
  <w:num w:numId="15">
    <w:abstractNumId w:val="20"/>
  </w:num>
  <w:num w:numId="16">
    <w:abstractNumId w:val="12"/>
  </w:num>
  <w:num w:numId="17">
    <w:abstractNumId w:val="14"/>
  </w:num>
  <w:num w:numId="18">
    <w:abstractNumId w:val="15"/>
  </w:num>
  <w:num w:numId="19">
    <w:abstractNumId w:val="29"/>
  </w:num>
  <w:num w:numId="20">
    <w:abstractNumId w:val="18"/>
  </w:num>
  <w:num w:numId="21">
    <w:abstractNumId w:val="13"/>
  </w:num>
  <w:num w:numId="22">
    <w:abstractNumId w:val="27"/>
  </w:num>
  <w:num w:numId="23">
    <w:abstractNumId w:val="25"/>
  </w:num>
  <w:num w:numId="24">
    <w:abstractNumId w:val="22"/>
  </w:num>
  <w:num w:numId="25">
    <w:abstractNumId w:val="21"/>
  </w:num>
  <w:num w:numId="26">
    <w:abstractNumId w:val="0"/>
  </w:num>
  <w:num w:numId="27">
    <w:abstractNumId w:val="1"/>
  </w:num>
  <w:num w:numId="28">
    <w:abstractNumId w:val="2"/>
  </w:num>
  <w:num w:numId="29">
    <w:abstractNumId w:val="3"/>
  </w:num>
  <w:num w:numId="30">
    <w:abstractNumId w:val="8"/>
  </w:num>
  <w:num w:numId="31">
    <w:abstractNumId w:val="4"/>
  </w:num>
  <w:num w:numId="32">
    <w:abstractNumId w:val="5"/>
  </w:num>
  <w:num w:numId="33">
    <w:abstractNumId w:val="6"/>
  </w:num>
  <w:num w:numId="34">
    <w:abstractNumId w:val="7"/>
  </w:num>
  <w:num w:numId="35">
    <w:abstractNumId w:val="9"/>
  </w:num>
  <w:num w:numId="36">
    <w:abstractNumId w:val="34"/>
  </w:num>
  <w:num w:numId="37">
    <w:abstractNumId w:val="23"/>
  </w:num>
  <w:num w:numId="38">
    <w:abstractNumId w:val="30"/>
  </w:num>
  <w:num w:numId="3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CE"/>
    <w:rsid w:val="00000F1D"/>
    <w:rsid w:val="00004DB8"/>
    <w:rsid w:val="000155D7"/>
    <w:rsid w:val="000265FE"/>
    <w:rsid w:val="00043C23"/>
    <w:rsid w:val="00062649"/>
    <w:rsid w:val="000642DA"/>
    <w:rsid w:val="00077A27"/>
    <w:rsid w:val="000916AC"/>
    <w:rsid w:val="000B4DF7"/>
    <w:rsid w:val="000C0223"/>
    <w:rsid w:val="000C5465"/>
    <w:rsid w:val="0014089E"/>
    <w:rsid w:val="00174D21"/>
    <w:rsid w:val="00183491"/>
    <w:rsid w:val="001944C2"/>
    <w:rsid w:val="001958F9"/>
    <w:rsid w:val="001E4483"/>
    <w:rsid w:val="0021020F"/>
    <w:rsid w:val="00222C7D"/>
    <w:rsid w:val="00235598"/>
    <w:rsid w:val="0024445B"/>
    <w:rsid w:val="00254C17"/>
    <w:rsid w:val="0025611F"/>
    <w:rsid w:val="002954FA"/>
    <w:rsid w:val="002B7E60"/>
    <w:rsid w:val="002C0F9D"/>
    <w:rsid w:val="002C71E3"/>
    <w:rsid w:val="002E351E"/>
    <w:rsid w:val="002E389F"/>
    <w:rsid w:val="002E4A5D"/>
    <w:rsid w:val="002F5DAE"/>
    <w:rsid w:val="0031606A"/>
    <w:rsid w:val="00324D18"/>
    <w:rsid w:val="00333F2A"/>
    <w:rsid w:val="00342078"/>
    <w:rsid w:val="00352F4E"/>
    <w:rsid w:val="00353C80"/>
    <w:rsid w:val="003577D7"/>
    <w:rsid w:val="00364B4D"/>
    <w:rsid w:val="00382DD2"/>
    <w:rsid w:val="00397DFD"/>
    <w:rsid w:val="003A6B3D"/>
    <w:rsid w:val="003B0435"/>
    <w:rsid w:val="003B110E"/>
    <w:rsid w:val="003C0D17"/>
    <w:rsid w:val="003E4DB8"/>
    <w:rsid w:val="00403547"/>
    <w:rsid w:val="0042429F"/>
    <w:rsid w:val="00431BAE"/>
    <w:rsid w:val="00437AE9"/>
    <w:rsid w:val="00463A7F"/>
    <w:rsid w:val="0047725F"/>
    <w:rsid w:val="00485F43"/>
    <w:rsid w:val="004A2ED2"/>
    <w:rsid w:val="004B0823"/>
    <w:rsid w:val="004C4038"/>
    <w:rsid w:val="004C6913"/>
    <w:rsid w:val="004E3EE7"/>
    <w:rsid w:val="00542846"/>
    <w:rsid w:val="00547D89"/>
    <w:rsid w:val="005839E8"/>
    <w:rsid w:val="005A2A50"/>
    <w:rsid w:val="005A6556"/>
    <w:rsid w:val="005D3767"/>
    <w:rsid w:val="005E4AE6"/>
    <w:rsid w:val="00614586"/>
    <w:rsid w:val="006155E0"/>
    <w:rsid w:val="00621A93"/>
    <w:rsid w:val="00631AE7"/>
    <w:rsid w:val="00635F97"/>
    <w:rsid w:val="00656B05"/>
    <w:rsid w:val="0067396A"/>
    <w:rsid w:val="00694B6D"/>
    <w:rsid w:val="006F42F1"/>
    <w:rsid w:val="007002DD"/>
    <w:rsid w:val="00727F0A"/>
    <w:rsid w:val="00740E1B"/>
    <w:rsid w:val="007552C3"/>
    <w:rsid w:val="0076066A"/>
    <w:rsid w:val="00782DF2"/>
    <w:rsid w:val="00791DDB"/>
    <w:rsid w:val="007B6E7C"/>
    <w:rsid w:val="007D02A6"/>
    <w:rsid w:val="007D305B"/>
    <w:rsid w:val="007D4A01"/>
    <w:rsid w:val="007E6AF6"/>
    <w:rsid w:val="0080185F"/>
    <w:rsid w:val="00807D68"/>
    <w:rsid w:val="00827555"/>
    <w:rsid w:val="008420A9"/>
    <w:rsid w:val="0084599D"/>
    <w:rsid w:val="00853C7A"/>
    <w:rsid w:val="00866EB1"/>
    <w:rsid w:val="008831E5"/>
    <w:rsid w:val="00886C3E"/>
    <w:rsid w:val="00893BE1"/>
    <w:rsid w:val="008C01CE"/>
    <w:rsid w:val="008C3610"/>
    <w:rsid w:val="008E3454"/>
    <w:rsid w:val="008F1E58"/>
    <w:rsid w:val="0093692B"/>
    <w:rsid w:val="0094478D"/>
    <w:rsid w:val="00963F00"/>
    <w:rsid w:val="009704F0"/>
    <w:rsid w:val="009732E2"/>
    <w:rsid w:val="00A0086D"/>
    <w:rsid w:val="00A03C62"/>
    <w:rsid w:val="00A07EA3"/>
    <w:rsid w:val="00A16F23"/>
    <w:rsid w:val="00A33C3F"/>
    <w:rsid w:val="00A36689"/>
    <w:rsid w:val="00A55B61"/>
    <w:rsid w:val="00A7672E"/>
    <w:rsid w:val="00AB290F"/>
    <w:rsid w:val="00AC5132"/>
    <w:rsid w:val="00AD19D3"/>
    <w:rsid w:val="00AD78A8"/>
    <w:rsid w:val="00AF4F23"/>
    <w:rsid w:val="00AF6C9A"/>
    <w:rsid w:val="00B07C8B"/>
    <w:rsid w:val="00B27C33"/>
    <w:rsid w:val="00B67498"/>
    <w:rsid w:val="00B94596"/>
    <w:rsid w:val="00BD5994"/>
    <w:rsid w:val="00BD61F4"/>
    <w:rsid w:val="00BE3A71"/>
    <w:rsid w:val="00BF019B"/>
    <w:rsid w:val="00BF1060"/>
    <w:rsid w:val="00BF19C6"/>
    <w:rsid w:val="00C0610F"/>
    <w:rsid w:val="00C345EB"/>
    <w:rsid w:val="00C34A9A"/>
    <w:rsid w:val="00C509FE"/>
    <w:rsid w:val="00C65B7D"/>
    <w:rsid w:val="00C71BEE"/>
    <w:rsid w:val="00C7224E"/>
    <w:rsid w:val="00C82D1B"/>
    <w:rsid w:val="00C83029"/>
    <w:rsid w:val="00C94DE2"/>
    <w:rsid w:val="00C97E5D"/>
    <w:rsid w:val="00CB6480"/>
    <w:rsid w:val="00CB7435"/>
    <w:rsid w:val="00CB761C"/>
    <w:rsid w:val="00CC2899"/>
    <w:rsid w:val="00CD0967"/>
    <w:rsid w:val="00CD382A"/>
    <w:rsid w:val="00D10FB8"/>
    <w:rsid w:val="00D130C6"/>
    <w:rsid w:val="00D14714"/>
    <w:rsid w:val="00D17102"/>
    <w:rsid w:val="00D32518"/>
    <w:rsid w:val="00DB3465"/>
    <w:rsid w:val="00DC7660"/>
    <w:rsid w:val="00DE3806"/>
    <w:rsid w:val="00DE54E1"/>
    <w:rsid w:val="00DF20B8"/>
    <w:rsid w:val="00DF4767"/>
    <w:rsid w:val="00E039E2"/>
    <w:rsid w:val="00E20078"/>
    <w:rsid w:val="00E23778"/>
    <w:rsid w:val="00E26859"/>
    <w:rsid w:val="00E31092"/>
    <w:rsid w:val="00E351B3"/>
    <w:rsid w:val="00E55D0B"/>
    <w:rsid w:val="00E6063C"/>
    <w:rsid w:val="00E80F68"/>
    <w:rsid w:val="00E860B4"/>
    <w:rsid w:val="00E87431"/>
    <w:rsid w:val="00E900BC"/>
    <w:rsid w:val="00E90A53"/>
    <w:rsid w:val="00EF2AA3"/>
    <w:rsid w:val="00EF450B"/>
    <w:rsid w:val="00F20C80"/>
    <w:rsid w:val="00F64807"/>
    <w:rsid w:val="00F76B24"/>
    <w:rsid w:val="00F76DFE"/>
    <w:rsid w:val="00FA092D"/>
    <w:rsid w:val="00FC5722"/>
    <w:rsid w:val="00FC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6C27"/>
  <w15:chartTrackingRefBased/>
  <w15:docId w15:val="{F44C158D-BFE0-4237-ABCD-DB2BD221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B3D"/>
  </w:style>
  <w:style w:type="paragraph" w:styleId="Heading1">
    <w:name w:val="heading 1"/>
    <w:basedOn w:val="Normal"/>
    <w:link w:val="Heading1Char"/>
    <w:uiPriority w:val="9"/>
    <w:qFormat/>
    <w:rsid w:val="003A6B3D"/>
    <w:pPr>
      <w:spacing w:after="0" w:line="300" w:lineRule="auto"/>
      <w:outlineLvl w:val="0"/>
    </w:pPr>
    <w:rPr>
      <w:rFonts w:ascii="Verdana" w:hAnsi="Verdana" w:cs="Times New Roman"/>
      <w:b/>
      <w:bCs/>
      <w:color w:val="EA8721"/>
      <w:kern w:val="36"/>
      <w:sz w:val="36"/>
      <w:szCs w:val="36"/>
    </w:rPr>
  </w:style>
  <w:style w:type="paragraph" w:styleId="Heading2">
    <w:name w:val="heading 2"/>
    <w:basedOn w:val="Normal"/>
    <w:link w:val="Heading2Char"/>
    <w:uiPriority w:val="9"/>
    <w:semiHidden/>
    <w:unhideWhenUsed/>
    <w:qFormat/>
    <w:rsid w:val="003A6B3D"/>
    <w:pPr>
      <w:spacing w:after="0" w:line="300" w:lineRule="auto"/>
      <w:outlineLvl w:val="1"/>
    </w:pPr>
    <w:rPr>
      <w:rFonts w:ascii="Verdana" w:hAnsi="Verdana" w:cs="Times New Roman"/>
      <w:b/>
      <w:bCs/>
      <w:color w:val="EA8721"/>
      <w:sz w:val="27"/>
      <w:szCs w:val="27"/>
    </w:rPr>
  </w:style>
  <w:style w:type="paragraph" w:styleId="Heading3">
    <w:name w:val="heading 3"/>
    <w:basedOn w:val="Normal"/>
    <w:next w:val="Normal"/>
    <w:link w:val="Heading3Char"/>
    <w:uiPriority w:val="9"/>
    <w:semiHidden/>
    <w:unhideWhenUsed/>
    <w:qFormat/>
    <w:rsid w:val="00A03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B27C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Accent11">
    <w:name w:val="Grid Table 6 Colorful - Accent 11"/>
    <w:basedOn w:val="TableNormal"/>
    <w:uiPriority w:val="51"/>
    <w:rsid w:val="003A6B3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cPr>
      <w:tcMar>
        <w:top w:w="58" w:type="dxa"/>
        <w:left w:w="58" w:type="dxa"/>
        <w:bottom w:w="58" w:type="dxa"/>
        <w:right w:w="58" w:type="dxa"/>
      </w:tcMar>
    </w:tc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Body">
    <w:name w:val="Body"/>
    <w:rsid w:val="003A6B3D"/>
    <w:pPr>
      <w:spacing w:before="240" w:after="240" w:line="240" w:lineRule="auto"/>
    </w:pPr>
    <w:rPr>
      <w:rFonts w:ascii="Times New Roman" w:eastAsia="Times New Roman" w:hAnsi="Times New Roman" w:cs="Times New Roman"/>
      <w:sz w:val="24"/>
      <w:szCs w:val="24"/>
    </w:rPr>
  </w:style>
  <w:style w:type="paragraph" w:customStyle="1" w:styleId="Subhead1">
    <w:name w:val="Subhead 1"/>
    <w:rsid w:val="003A6B3D"/>
    <w:pPr>
      <w:spacing w:before="120" w:after="120" w:line="240" w:lineRule="auto"/>
    </w:pPr>
    <w:rPr>
      <w:rFonts w:ascii="Gill Sans MT" w:eastAsia="Times New Roman" w:hAnsi="Gill Sans MT" w:cs="Times New Roman"/>
      <w:b/>
      <w:sz w:val="36"/>
      <w:szCs w:val="24"/>
    </w:rPr>
  </w:style>
  <w:style w:type="paragraph" w:styleId="NoSpacing">
    <w:name w:val="No Spacing"/>
    <w:uiPriority w:val="1"/>
    <w:qFormat/>
    <w:rsid w:val="003A6B3D"/>
    <w:pPr>
      <w:spacing w:after="0" w:line="240" w:lineRule="auto"/>
    </w:pPr>
    <w:rPr>
      <w:rFonts w:ascii="Arial" w:eastAsia="Calibri" w:hAnsi="Arial" w:cs="Times New Roman"/>
      <w:sz w:val="24"/>
    </w:rPr>
  </w:style>
  <w:style w:type="paragraph" w:customStyle="1" w:styleId="sourcestext">
    <w:name w:val="sources text"/>
    <w:basedOn w:val="Normal"/>
    <w:qFormat/>
    <w:rsid w:val="003A6B3D"/>
    <w:pPr>
      <w:spacing w:after="0" w:line="240" w:lineRule="auto"/>
    </w:pPr>
    <w:rPr>
      <w:rFonts w:ascii="Arial" w:eastAsia="Times New Roman" w:hAnsi="Arial" w:cs="Arial"/>
      <w:b/>
      <w:bCs/>
      <w:color w:val="000000"/>
      <w:sz w:val="20"/>
      <w:szCs w:val="20"/>
    </w:rPr>
  </w:style>
  <w:style w:type="paragraph" w:customStyle="1" w:styleId="Headline2">
    <w:name w:val="Headline 2"/>
    <w:basedOn w:val="Normal"/>
    <w:rsid w:val="003A6B3D"/>
    <w:pPr>
      <w:spacing w:after="0" w:line="240" w:lineRule="auto"/>
    </w:pPr>
    <w:rPr>
      <w:rFonts w:ascii="Gill Sans MT" w:eastAsia="Times New Roman" w:hAnsi="Gill Sans MT" w:cs="Times New Roman"/>
      <w:b/>
      <w:sz w:val="40"/>
      <w:szCs w:val="24"/>
    </w:rPr>
  </w:style>
  <w:style w:type="paragraph" w:styleId="BodyText">
    <w:name w:val="Body Text"/>
    <w:basedOn w:val="Normal"/>
    <w:link w:val="BodyTextChar"/>
    <w:rsid w:val="0093692B"/>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93692B"/>
    <w:rPr>
      <w:rFonts w:ascii="Times New Roman" w:eastAsia="MS Mincho" w:hAnsi="Times New Roman" w:cs="Times New Roman"/>
      <w:sz w:val="24"/>
      <w:szCs w:val="24"/>
    </w:rPr>
  </w:style>
  <w:style w:type="character" w:styleId="Hyperlink">
    <w:name w:val="Hyperlink"/>
    <w:basedOn w:val="DefaultParagraphFont"/>
    <w:uiPriority w:val="99"/>
    <w:unhideWhenUsed/>
    <w:rsid w:val="003A6B3D"/>
    <w:rPr>
      <w:color w:val="0563C1" w:themeColor="hyperlink"/>
      <w:u w:val="single"/>
    </w:rPr>
  </w:style>
  <w:style w:type="paragraph" w:styleId="ListParagraph">
    <w:name w:val="List Paragraph"/>
    <w:basedOn w:val="Normal"/>
    <w:uiPriority w:val="34"/>
    <w:qFormat/>
    <w:rsid w:val="003A6B3D"/>
    <w:pPr>
      <w:ind w:left="720"/>
      <w:contextualSpacing/>
    </w:pPr>
  </w:style>
  <w:style w:type="character" w:customStyle="1" w:styleId="normaltextrun">
    <w:name w:val="normaltextrun"/>
    <w:basedOn w:val="DefaultParagraphFont"/>
    <w:rsid w:val="0093692B"/>
  </w:style>
  <w:style w:type="paragraph" w:customStyle="1" w:styleId="Bullet">
    <w:name w:val="Bullet"/>
    <w:basedOn w:val="Body"/>
    <w:autoRedefine/>
    <w:rsid w:val="00AD78A8"/>
    <w:pPr>
      <w:numPr>
        <w:numId w:val="4"/>
      </w:numPr>
      <w:tabs>
        <w:tab w:val="left" w:pos="720"/>
      </w:tabs>
      <w:ind w:left="360" w:right="720"/>
      <w:contextualSpacing/>
    </w:pPr>
    <w:rPr>
      <w:rFonts w:cs="Helvetica"/>
      <w:color w:val="202020"/>
    </w:rPr>
  </w:style>
  <w:style w:type="paragraph" w:styleId="TOC1">
    <w:name w:val="toc 1"/>
    <w:basedOn w:val="Normal"/>
    <w:next w:val="Normal"/>
    <w:autoRedefine/>
    <w:uiPriority w:val="39"/>
    <w:unhideWhenUsed/>
    <w:rsid w:val="00382DD2"/>
    <w:pPr>
      <w:tabs>
        <w:tab w:val="right" w:leader="dot" w:pos="9350"/>
      </w:tabs>
      <w:spacing w:before="120" w:after="0"/>
    </w:pPr>
    <w:rPr>
      <w:rFonts w:cstheme="minorHAnsi"/>
      <w:b/>
      <w:bCs/>
      <w:i/>
      <w:iCs/>
      <w:sz w:val="24"/>
      <w:szCs w:val="24"/>
    </w:rPr>
  </w:style>
  <w:style w:type="paragraph" w:styleId="TOC2">
    <w:name w:val="toc 2"/>
    <w:basedOn w:val="Normal"/>
    <w:next w:val="Normal"/>
    <w:autoRedefine/>
    <w:uiPriority w:val="39"/>
    <w:unhideWhenUsed/>
    <w:rsid w:val="00DE54E1"/>
    <w:pPr>
      <w:spacing w:before="120" w:after="0"/>
      <w:ind w:left="220"/>
    </w:pPr>
    <w:rPr>
      <w:rFonts w:cstheme="minorHAnsi"/>
      <w:b/>
      <w:bCs/>
    </w:rPr>
  </w:style>
  <w:style w:type="character" w:customStyle="1" w:styleId="UnresolvedMention1">
    <w:name w:val="Unresolved Mention1"/>
    <w:basedOn w:val="DefaultParagraphFont"/>
    <w:uiPriority w:val="99"/>
    <w:semiHidden/>
    <w:unhideWhenUsed/>
    <w:rsid w:val="007552C3"/>
    <w:rPr>
      <w:color w:val="605E5C"/>
      <w:shd w:val="clear" w:color="auto" w:fill="E1DFDD"/>
    </w:rPr>
  </w:style>
  <w:style w:type="paragraph" w:customStyle="1" w:styleId="bulletindent">
    <w:name w:val="bullet indent"/>
    <w:basedOn w:val="Bullet"/>
    <w:qFormat/>
    <w:rsid w:val="003577D7"/>
    <w:pPr>
      <w:numPr>
        <w:ilvl w:val="1"/>
        <w:numId w:val="5"/>
      </w:numPr>
      <w:spacing w:before="120" w:after="120"/>
      <w:ind w:left="720"/>
    </w:pPr>
  </w:style>
  <w:style w:type="character" w:styleId="CommentReference">
    <w:name w:val="annotation reference"/>
    <w:basedOn w:val="DefaultParagraphFont"/>
    <w:uiPriority w:val="99"/>
    <w:unhideWhenUsed/>
    <w:rsid w:val="003A6B3D"/>
    <w:rPr>
      <w:sz w:val="16"/>
      <w:szCs w:val="16"/>
    </w:rPr>
  </w:style>
  <w:style w:type="paragraph" w:styleId="CommentText">
    <w:name w:val="annotation text"/>
    <w:basedOn w:val="Normal"/>
    <w:link w:val="CommentTextChar"/>
    <w:uiPriority w:val="99"/>
    <w:unhideWhenUsed/>
    <w:rsid w:val="003A6B3D"/>
    <w:pPr>
      <w:spacing w:line="240" w:lineRule="auto"/>
    </w:pPr>
    <w:rPr>
      <w:sz w:val="20"/>
      <w:szCs w:val="20"/>
    </w:rPr>
  </w:style>
  <w:style w:type="character" w:customStyle="1" w:styleId="CommentTextChar">
    <w:name w:val="Comment Text Char"/>
    <w:basedOn w:val="DefaultParagraphFont"/>
    <w:link w:val="CommentText"/>
    <w:uiPriority w:val="99"/>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customStyle="1" w:styleId="CommentSubjectChar">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CD3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82A"/>
    <w:rPr>
      <w:rFonts w:ascii="Segoe UI" w:hAnsi="Segoe UI" w:cs="Segoe UI"/>
      <w:sz w:val="18"/>
      <w:szCs w:val="18"/>
    </w:rPr>
  </w:style>
  <w:style w:type="paragraph" w:customStyle="1" w:styleId="Bodynospaceafterorbeforepara">
    <w:name w:val="Body no space after or before para"/>
    <w:basedOn w:val="Normal"/>
    <w:rsid w:val="003A6B3D"/>
    <w:pPr>
      <w:spacing w:after="0" w:line="240" w:lineRule="auto"/>
    </w:pPr>
    <w:rPr>
      <w:rFonts w:ascii="Times New Roman" w:eastAsia="Times New Roman" w:hAnsi="Times New Roman" w:cs="Times New Roman"/>
      <w:sz w:val="24"/>
      <w:szCs w:val="24"/>
    </w:rPr>
  </w:style>
  <w:style w:type="paragraph" w:customStyle="1" w:styleId="Bodytextnospacing">
    <w:name w:val="Body text no spacing"/>
    <w:basedOn w:val="Normal"/>
    <w:rsid w:val="003A6B3D"/>
    <w:pPr>
      <w:spacing w:after="0" w:line="240" w:lineRule="auto"/>
    </w:pPr>
    <w:rPr>
      <w:rFonts w:ascii="Times New Roman" w:eastAsia="Times New Roman" w:hAnsi="Times New Roman" w:cs="Times New Roman"/>
      <w:sz w:val="24"/>
      <w:szCs w:val="24"/>
    </w:rPr>
  </w:style>
  <w:style w:type="paragraph" w:customStyle="1" w:styleId="bulletindent1">
    <w:name w:val="bullet indent 1"/>
    <w:basedOn w:val="bulletindent"/>
    <w:qFormat/>
    <w:rsid w:val="003A6B3D"/>
    <w:pPr>
      <w:numPr>
        <w:ilvl w:val="2"/>
        <w:numId w:val="6"/>
      </w:numPr>
      <w:tabs>
        <w:tab w:val="clear" w:pos="720"/>
      </w:tabs>
      <w:spacing w:before="100" w:beforeAutospacing="1" w:after="100" w:afterAutospacing="1"/>
    </w:pPr>
    <w:rPr>
      <w:rFonts w:cs="Times New Roman"/>
    </w:rPr>
  </w:style>
  <w:style w:type="paragraph" w:customStyle="1" w:styleId="bulletindent2">
    <w:name w:val="bullet indent 2"/>
    <w:basedOn w:val="bulletindent1"/>
    <w:qFormat/>
    <w:rsid w:val="003A6B3D"/>
    <w:pPr>
      <w:numPr>
        <w:ilvl w:val="3"/>
      </w:numPr>
    </w:pPr>
  </w:style>
  <w:style w:type="paragraph" w:customStyle="1" w:styleId="Default">
    <w:name w:val="Default"/>
    <w:basedOn w:val="Normal"/>
    <w:rsid w:val="003A6B3D"/>
    <w:pPr>
      <w:autoSpaceDE w:val="0"/>
      <w:autoSpaceDN w:val="0"/>
      <w:spacing w:after="0" w:line="240" w:lineRule="auto"/>
    </w:pPr>
    <w:rPr>
      <w:rFonts w:ascii="Wingdings" w:hAnsi="Wingdings" w:cs="Calibri"/>
      <w:color w:val="000000"/>
      <w:sz w:val="24"/>
      <w:szCs w:val="24"/>
    </w:rPr>
  </w:style>
  <w:style w:type="character" w:styleId="FollowedHyperlink">
    <w:name w:val="FollowedHyperlink"/>
    <w:basedOn w:val="DefaultParagraphFont"/>
    <w:uiPriority w:val="99"/>
    <w:semiHidden/>
    <w:unhideWhenUsed/>
    <w:rsid w:val="003A6B3D"/>
    <w:rPr>
      <w:color w:val="954F72" w:themeColor="followedHyperlink"/>
      <w:u w:val="single"/>
    </w:rPr>
  </w:style>
  <w:style w:type="paragraph" w:styleId="Footer">
    <w:name w:val="footer"/>
    <w:basedOn w:val="Normal"/>
    <w:link w:val="FooterChar"/>
    <w:uiPriority w:val="99"/>
    <w:unhideWhenUsed/>
    <w:rsid w:val="003A6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B3D"/>
  </w:style>
  <w:style w:type="table" w:customStyle="1" w:styleId="GridTable6Colorful-Accent111">
    <w:name w:val="Grid Table 6 Colorful - Accent 111"/>
    <w:basedOn w:val="TableNormal"/>
    <w:uiPriority w:val="51"/>
    <w:rsid w:val="003A6B3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cPr>
      <w:tcMar>
        <w:top w:w="58" w:type="dxa"/>
        <w:left w:w="58" w:type="dxa"/>
        <w:bottom w:w="58" w:type="dxa"/>
        <w:right w:w="58" w:type="dxa"/>
      </w:tcMar>
    </w:tc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3A6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B3D"/>
  </w:style>
  <w:style w:type="character" w:customStyle="1" w:styleId="Heading1Char">
    <w:name w:val="Heading 1 Char"/>
    <w:basedOn w:val="DefaultParagraphFont"/>
    <w:link w:val="Heading1"/>
    <w:uiPriority w:val="9"/>
    <w:rsid w:val="003A6B3D"/>
    <w:rPr>
      <w:rFonts w:ascii="Verdana" w:hAnsi="Verdana" w:cs="Times New Roman"/>
      <w:b/>
      <w:bCs/>
      <w:color w:val="EA8721"/>
      <w:kern w:val="36"/>
      <w:sz w:val="36"/>
      <w:szCs w:val="36"/>
    </w:rPr>
  </w:style>
  <w:style w:type="character" w:customStyle="1" w:styleId="Heading2Char">
    <w:name w:val="Heading 2 Char"/>
    <w:basedOn w:val="DefaultParagraphFont"/>
    <w:link w:val="Heading2"/>
    <w:uiPriority w:val="9"/>
    <w:semiHidden/>
    <w:rsid w:val="003A6B3D"/>
    <w:rPr>
      <w:rFonts w:ascii="Verdana" w:hAnsi="Verdana" w:cs="Times New Roman"/>
      <w:b/>
      <w:bCs/>
      <w:color w:val="EA8721"/>
      <w:sz w:val="27"/>
      <w:szCs w:val="27"/>
    </w:rPr>
  </w:style>
  <w:style w:type="paragraph" w:customStyle="1" w:styleId="numbers">
    <w:name w:val="numbers"/>
    <w:basedOn w:val="Body"/>
    <w:qFormat/>
    <w:rsid w:val="003A6B3D"/>
    <w:pPr>
      <w:numPr>
        <w:numId w:val="7"/>
      </w:numPr>
      <w:spacing w:before="0"/>
    </w:pPr>
  </w:style>
  <w:style w:type="character" w:styleId="Strong">
    <w:name w:val="Strong"/>
    <w:basedOn w:val="DefaultParagraphFont"/>
    <w:uiPriority w:val="22"/>
    <w:qFormat/>
    <w:rsid w:val="003A6B3D"/>
    <w:rPr>
      <w:b/>
      <w:bCs/>
    </w:rPr>
  </w:style>
  <w:style w:type="paragraph" w:customStyle="1" w:styleId="Subhead2">
    <w:name w:val="Subhead 2"/>
    <w:basedOn w:val="Normal"/>
    <w:rsid w:val="003A6B3D"/>
    <w:pPr>
      <w:spacing w:before="120" w:after="120" w:line="240" w:lineRule="auto"/>
    </w:pPr>
    <w:rPr>
      <w:rFonts w:ascii="Gill Sans MT" w:eastAsia="Times New Roman" w:hAnsi="Gill Sans MT" w:cs="Times New Roman"/>
      <w:b/>
      <w:sz w:val="32"/>
      <w:szCs w:val="24"/>
    </w:rPr>
  </w:style>
  <w:style w:type="paragraph" w:customStyle="1" w:styleId="Subhead4">
    <w:name w:val="Subhead 4"/>
    <w:basedOn w:val="Normal"/>
    <w:rsid w:val="003A6B3D"/>
    <w:pPr>
      <w:spacing w:before="120" w:after="120" w:line="240" w:lineRule="auto"/>
    </w:pPr>
    <w:rPr>
      <w:rFonts w:ascii="Gill Sans MT" w:eastAsia="Times New Roman" w:hAnsi="Gill Sans MT" w:cs="Times New Roman"/>
      <w:b/>
      <w:sz w:val="24"/>
      <w:szCs w:val="24"/>
    </w:rPr>
  </w:style>
  <w:style w:type="table" w:styleId="TableGrid">
    <w:name w:val="Table Grid"/>
    <w:basedOn w:val="TableNormal"/>
    <w:uiPriority w:val="39"/>
    <w:rsid w:val="003A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
    <w:name w:val="Table row head"/>
    <w:rsid w:val="003A6B3D"/>
    <w:pPr>
      <w:spacing w:after="0" w:line="240" w:lineRule="auto"/>
    </w:pPr>
    <w:rPr>
      <w:rFonts w:ascii="GillSans" w:eastAsia="Times New Roman" w:hAnsi="GillSans" w:cs="Times New Roman"/>
      <w:b/>
      <w:szCs w:val="24"/>
    </w:rPr>
  </w:style>
  <w:style w:type="paragraph" w:customStyle="1" w:styleId="Tabletext1">
    <w:name w:val="Table text 1"/>
    <w:basedOn w:val="Tablerowhead"/>
    <w:rsid w:val="003A6B3D"/>
    <w:rPr>
      <w:b w:val="0"/>
      <w:sz w:val="20"/>
    </w:rPr>
  </w:style>
  <w:style w:type="paragraph" w:styleId="Revision">
    <w:name w:val="Revision"/>
    <w:hidden/>
    <w:uiPriority w:val="99"/>
    <w:semiHidden/>
    <w:rsid w:val="00342078"/>
    <w:pPr>
      <w:spacing w:after="0" w:line="240" w:lineRule="auto"/>
    </w:pPr>
  </w:style>
  <w:style w:type="character" w:customStyle="1" w:styleId="Heading3Char">
    <w:name w:val="Heading 3 Char"/>
    <w:basedOn w:val="DefaultParagraphFont"/>
    <w:link w:val="Heading3"/>
    <w:uiPriority w:val="9"/>
    <w:semiHidden/>
    <w:rsid w:val="00A03C6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03C62"/>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B7435"/>
    <w:pPr>
      <w:spacing w:after="0" w:line="240" w:lineRule="auto"/>
    </w:pPr>
    <w:rPr>
      <w:rFonts w:ascii="Garamond" w:hAnsi="Garamond"/>
      <w:sz w:val="24"/>
      <w:szCs w:val="21"/>
    </w:rPr>
  </w:style>
  <w:style w:type="character" w:customStyle="1" w:styleId="PlainTextChar">
    <w:name w:val="Plain Text Char"/>
    <w:basedOn w:val="DefaultParagraphFont"/>
    <w:link w:val="PlainText"/>
    <w:uiPriority w:val="99"/>
    <w:semiHidden/>
    <w:rsid w:val="00CB7435"/>
    <w:rPr>
      <w:rFonts w:ascii="Garamond" w:hAnsi="Garamond"/>
      <w:sz w:val="24"/>
      <w:szCs w:val="21"/>
    </w:rPr>
  </w:style>
  <w:style w:type="character" w:customStyle="1" w:styleId="UnresolvedMention2">
    <w:name w:val="Unresolved Mention2"/>
    <w:basedOn w:val="DefaultParagraphFont"/>
    <w:uiPriority w:val="99"/>
    <w:semiHidden/>
    <w:unhideWhenUsed/>
    <w:rsid w:val="000C5465"/>
    <w:rPr>
      <w:color w:val="605E5C"/>
      <w:shd w:val="clear" w:color="auto" w:fill="E1DFDD"/>
    </w:rPr>
  </w:style>
  <w:style w:type="character" w:customStyle="1" w:styleId="Heading9Char">
    <w:name w:val="Heading 9 Char"/>
    <w:basedOn w:val="DefaultParagraphFont"/>
    <w:link w:val="Heading9"/>
    <w:uiPriority w:val="9"/>
    <w:semiHidden/>
    <w:rsid w:val="00B27C3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E54E1"/>
    <w:pPr>
      <w:keepNext/>
      <w:keepLines/>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3">
    <w:name w:val="toc 3"/>
    <w:basedOn w:val="Normal"/>
    <w:next w:val="Normal"/>
    <w:autoRedefine/>
    <w:uiPriority w:val="39"/>
    <w:unhideWhenUsed/>
    <w:rsid w:val="00DE54E1"/>
    <w:pPr>
      <w:spacing w:after="0"/>
      <w:ind w:left="440"/>
    </w:pPr>
    <w:rPr>
      <w:rFonts w:cstheme="minorHAnsi"/>
      <w:sz w:val="20"/>
      <w:szCs w:val="20"/>
    </w:rPr>
  </w:style>
  <w:style w:type="paragraph" w:styleId="TOC4">
    <w:name w:val="toc 4"/>
    <w:basedOn w:val="Normal"/>
    <w:next w:val="Normal"/>
    <w:autoRedefine/>
    <w:uiPriority w:val="39"/>
    <w:semiHidden/>
    <w:unhideWhenUsed/>
    <w:rsid w:val="00DE54E1"/>
    <w:pPr>
      <w:spacing w:after="0"/>
      <w:ind w:left="660"/>
    </w:pPr>
    <w:rPr>
      <w:rFonts w:cstheme="minorHAnsi"/>
      <w:sz w:val="20"/>
      <w:szCs w:val="20"/>
    </w:rPr>
  </w:style>
  <w:style w:type="paragraph" w:styleId="TOC5">
    <w:name w:val="toc 5"/>
    <w:basedOn w:val="Normal"/>
    <w:next w:val="Normal"/>
    <w:autoRedefine/>
    <w:uiPriority w:val="39"/>
    <w:semiHidden/>
    <w:unhideWhenUsed/>
    <w:rsid w:val="00DE54E1"/>
    <w:pPr>
      <w:spacing w:after="0"/>
      <w:ind w:left="880"/>
    </w:pPr>
    <w:rPr>
      <w:rFonts w:cstheme="minorHAnsi"/>
      <w:sz w:val="20"/>
      <w:szCs w:val="20"/>
    </w:rPr>
  </w:style>
  <w:style w:type="paragraph" w:styleId="TOC6">
    <w:name w:val="toc 6"/>
    <w:basedOn w:val="Normal"/>
    <w:next w:val="Normal"/>
    <w:autoRedefine/>
    <w:uiPriority w:val="39"/>
    <w:semiHidden/>
    <w:unhideWhenUsed/>
    <w:rsid w:val="00DE54E1"/>
    <w:pPr>
      <w:spacing w:after="0"/>
      <w:ind w:left="1100"/>
    </w:pPr>
    <w:rPr>
      <w:rFonts w:cstheme="minorHAnsi"/>
      <w:sz w:val="20"/>
      <w:szCs w:val="20"/>
    </w:rPr>
  </w:style>
  <w:style w:type="paragraph" w:styleId="TOC7">
    <w:name w:val="toc 7"/>
    <w:basedOn w:val="Normal"/>
    <w:next w:val="Normal"/>
    <w:autoRedefine/>
    <w:uiPriority w:val="39"/>
    <w:semiHidden/>
    <w:unhideWhenUsed/>
    <w:rsid w:val="00DE54E1"/>
    <w:pPr>
      <w:spacing w:after="0"/>
      <w:ind w:left="1320"/>
    </w:pPr>
    <w:rPr>
      <w:rFonts w:cstheme="minorHAnsi"/>
      <w:sz w:val="20"/>
      <w:szCs w:val="20"/>
    </w:rPr>
  </w:style>
  <w:style w:type="paragraph" w:styleId="TOC8">
    <w:name w:val="toc 8"/>
    <w:basedOn w:val="Normal"/>
    <w:next w:val="Normal"/>
    <w:autoRedefine/>
    <w:uiPriority w:val="39"/>
    <w:semiHidden/>
    <w:unhideWhenUsed/>
    <w:rsid w:val="00DE54E1"/>
    <w:pPr>
      <w:spacing w:after="0"/>
      <w:ind w:left="1540"/>
    </w:pPr>
    <w:rPr>
      <w:rFonts w:cstheme="minorHAnsi"/>
      <w:sz w:val="20"/>
      <w:szCs w:val="20"/>
    </w:rPr>
  </w:style>
  <w:style w:type="paragraph" w:styleId="TOC9">
    <w:name w:val="toc 9"/>
    <w:basedOn w:val="Normal"/>
    <w:next w:val="Normal"/>
    <w:autoRedefine/>
    <w:uiPriority w:val="39"/>
    <w:semiHidden/>
    <w:unhideWhenUsed/>
    <w:rsid w:val="00DE54E1"/>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96763">
      <w:bodyDiv w:val="1"/>
      <w:marLeft w:val="0"/>
      <w:marRight w:val="0"/>
      <w:marTop w:val="0"/>
      <w:marBottom w:val="0"/>
      <w:divBdr>
        <w:top w:val="none" w:sz="0" w:space="0" w:color="auto"/>
        <w:left w:val="none" w:sz="0" w:space="0" w:color="auto"/>
        <w:bottom w:val="none" w:sz="0" w:space="0" w:color="auto"/>
        <w:right w:val="none" w:sz="0" w:space="0" w:color="auto"/>
      </w:divBdr>
    </w:div>
    <w:div w:id="682558959">
      <w:bodyDiv w:val="1"/>
      <w:marLeft w:val="0"/>
      <w:marRight w:val="0"/>
      <w:marTop w:val="0"/>
      <w:marBottom w:val="0"/>
      <w:divBdr>
        <w:top w:val="none" w:sz="0" w:space="0" w:color="auto"/>
        <w:left w:val="none" w:sz="0" w:space="0" w:color="auto"/>
        <w:bottom w:val="none" w:sz="0" w:space="0" w:color="auto"/>
        <w:right w:val="none" w:sz="0" w:space="0" w:color="auto"/>
      </w:divBdr>
    </w:div>
    <w:div w:id="843514480">
      <w:bodyDiv w:val="1"/>
      <w:marLeft w:val="0"/>
      <w:marRight w:val="0"/>
      <w:marTop w:val="0"/>
      <w:marBottom w:val="0"/>
      <w:divBdr>
        <w:top w:val="none" w:sz="0" w:space="0" w:color="auto"/>
        <w:left w:val="none" w:sz="0" w:space="0" w:color="auto"/>
        <w:bottom w:val="none" w:sz="0" w:space="0" w:color="auto"/>
        <w:right w:val="none" w:sz="0" w:space="0" w:color="auto"/>
      </w:divBdr>
    </w:div>
    <w:div w:id="1089813248">
      <w:bodyDiv w:val="1"/>
      <w:marLeft w:val="0"/>
      <w:marRight w:val="0"/>
      <w:marTop w:val="0"/>
      <w:marBottom w:val="0"/>
      <w:divBdr>
        <w:top w:val="none" w:sz="0" w:space="0" w:color="auto"/>
        <w:left w:val="none" w:sz="0" w:space="0" w:color="auto"/>
        <w:bottom w:val="none" w:sz="0" w:space="0" w:color="auto"/>
        <w:right w:val="none" w:sz="0" w:space="0" w:color="auto"/>
      </w:divBdr>
    </w:div>
    <w:div w:id="1406607483">
      <w:bodyDiv w:val="1"/>
      <w:marLeft w:val="0"/>
      <w:marRight w:val="0"/>
      <w:marTop w:val="0"/>
      <w:marBottom w:val="0"/>
      <w:divBdr>
        <w:top w:val="none" w:sz="0" w:space="0" w:color="auto"/>
        <w:left w:val="none" w:sz="0" w:space="0" w:color="auto"/>
        <w:bottom w:val="none" w:sz="0" w:space="0" w:color="auto"/>
        <w:right w:val="none" w:sz="0" w:space="0" w:color="auto"/>
      </w:divBdr>
    </w:div>
    <w:div w:id="1763065474">
      <w:bodyDiv w:val="1"/>
      <w:marLeft w:val="0"/>
      <w:marRight w:val="0"/>
      <w:marTop w:val="0"/>
      <w:marBottom w:val="0"/>
      <w:divBdr>
        <w:top w:val="none" w:sz="0" w:space="0" w:color="auto"/>
        <w:left w:val="none" w:sz="0" w:space="0" w:color="auto"/>
        <w:bottom w:val="none" w:sz="0" w:space="0" w:color="auto"/>
        <w:right w:val="none" w:sz="0" w:space="0" w:color="auto"/>
      </w:divBdr>
    </w:div>
    <w:div w:id="1799957073">
      <w:bodyDiv w:val="1"/>
      <w:marLeft w:val="0"/>
      <w:marRight w:val="0"/>
      <w:marTop w:val="0"/>
      <w:marBottom w:val="0"/>
      <w:divBdr>
        <w:top w:val="none" w:sz="0" w:space="0" w:color="auto"/>
        <w:left w:val="none" w:sz="0" w:space="0" w:color="auto"/>
        <w:bottom w:val="none" w:sz="0" w:space="0" w:color="auto"/>
        <w:right w:val="none" w:sz="0" w:space="0" w:color="auto"/>
      </w:divBdr>
    </w:div>
    <w:div w:id="19130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cr/documents/esseriiiexpenditurepla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e.ca.gov/fg/cr/documents/returnplantemplate.pdf" TargetMode="Externa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cscc.adm.dss.ca.gov/" TargetMode="External"/><Relationship Id="rId5" Type="http://schemas.openxmlformats.org/officeDocument/2006/relationships/webSettings" Target="webSettings.xml"/><Relationship Id="rId10" Type="http://schemas.openxmlformats.org/officeDocument/2006/relationships/hyperlink" Target="https://www.cde.ca.gov/re/lc" TargetMode="External"/><Relationship Id="rId4" Type="http://schemas.openxmlformats.org/officeDocument/2006/relationships/settings" Target="settings.xml"/><Relationship Id="rId9" Type="http://schemas.openxmlformats.org/officeDocument/2006/relationships/hyperlink" Target="https://www.cde.ca.gov/re/es/evidenc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1C58-CFDC-46FE-B610-D553D9BB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7850</Words>
  <Characters>44746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Hansen</dc:creator>
  <cp:keywords/>
  <dc:description/>
  <cp:lastModifiedBy>Dean West</cp:lastModifiedBy>
  <cp:revision>4</cp:revision>
  <cp:lastPrinted>2021-07-15T20:15:00Z</cp:lastPrinted>
  <dcterms:created xsi:type="dcterms:W3CDTF">2021-07-26T15:13:00Z</dcterms:created>
  <dcterms:modified xsi:type="dcterms:W3CDTF">2021-07-26T15:14:00Z</dcterms:modified>
</cp:coreProperties>
</file>